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spacing w:line="360" w:lineRule="auto"/>
        <w:jc w:val="center"/>
        <w:outlineLvl w:val="0"/>
        <w:rPr>
          <w:rFonts w:ascii="仿宋" w:hAnsi="仿宋" w:eastAsia="仿宋"/>
          <w:b/>
          <w:color w:val="auto"/>
          <w:sz w:val="44"/>
          <w:szCs w:val="44"/>
        </w:rPr>
      </w:pPr>
      <w:bookmarkStart w:id="0" w:name="_Toc249325665"/>
      <w:bookmarkStart w:id="1" w:name="_Toc266870861"/>
      <w:bookmarkStart w:id="2" w:name="_Toc255974963"/>
      <w:bookmarkStart w:id="3" w:name="_Toc267059519"/>
      <w:bookmarkStart w:id="4" w:name="_Toc169332794"/>
      <w:bookmarkStart w:id="5" w:name="_Toc259520819"/>
      <w:bookmarkStart w:id="6" w:name="_Toc267060407"/>
      <w:bookmarkStart w:id="7" w:name="_Toc254790852"/>
      <w:bookmarkStart w:id="8" w:name="_Toc235438227"/>
      <w:bookmarkStart w:id="9" w:name="_Toc170798743"/>
      <w:bookmarkStart w:id="10" w:name="_Toc266870386"/>
      <w:bookmarkStart w:id="11" w:name="_Toc236021402"/>
      <w:bookmarkStart w:id="12" w:name="_Toc258401210"/>
      <w:bookmarkStart w:id="13" w:name="_Toc211937196"/>
      <w:bookmarkStart w:id="14" w:name="_Toc207014580"/>
      <w:bookmarkStart w:id="15" w:name="_Toc212454753"/>
      <w:bookmarkStart w:id="16" w:name="_Toc266868924"/>
      <w:bookmarkStart w:id="17" w:name="_Toc259692693"/>
      <w:bookmarkStart w:id="18" w:name="_Toc225669277"/>
      <w:bookmarkStart w:id="19" w:name="_Toc235437942"/>
      <w:bookmarkStart w:id="20" w:name="_Toc266868624"/>
      <w:bookmarkStart w:id="21" w:name="_Toc267059161"/>
      <w:bookmarkStart w:id="22" w:name="_Toc177985424"/>
      <w:bookmarkStart w:id="23" w:name="_Toc235438297"/>
      <w:bookmarkStart w:id="24" w:name="_Toc169332904"/>
      <w:bookmarkStart w:id="25" w:name="_Toc267059633"/>
      <w:bookmarkStart w:id="26" w:name="_Toc259692600"/>
      <w:bookmarkStart w:id="27" w:name="_Toc267060022"/>
      <w:bookmarkStart w:id="28" w:name="_Toc253066567"/>
      <w:bookmarkStart w:id="29" w:name="_Toc251586187"/>
      <w:bookmarkStart w:id="30" w:name="_Toc273178686"/>
      <w:bookmarkStart w:id="31" w:name="_Toc223146565"/>
      <w:bookmarkStart w:id="32" w:name="_Toc212456146"/>
      <w:bookmarkStart w:id="33" w:name="_Toc267059786"/>
      <w:bookmarkStart w:id="34" w:name="_Toc217891359"/>
      <w:bookmarkStart w:id="35" w:name="_Toc267059010"/>
      <w:bookmarkStart w:id="36" w:name="_Toc216241307"/>
      <w:bookmarkStart w:id="37" w:name="_Toc267060162"/>
      <w:bookmarkStart w:id="38" w:name="_Toc267059899"/>
      <w:bookmarkStart w:id="39" w:name="_Toc227058483"/>
      <w:bookmarkStart w:id="40" w:name="_Toc212526081"/>
      <w:bookmarkStart w:id="41" w:name="_Toc160880487"/>
      <w:bookmarkStart w:id="42" w:name="_Toc212530253"/>
      <w:bookmarkStart w:id="43" w:name="_Toc219800200"/>
      <w:bookmarkStart w:id="44" w:name="_Toc251613780"/>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widowControl w:val="0"/>
        <w:tabs>
          <w:tab w:val="left" w:pos="708"/>
          <w:tab w:val="left" w:pos="839"/>
          <w:tab w:val="left" w:pos="1469"/>
        </w:tabs>
        <w:spacing w:after="0" w:line="500" w:lineRule="exact"/>
        <w:ind w:firstLine="480" w:firstLineChars="200"/>
        <w:rPr>
          <w:rFonts w:ascii="仿宋" w:hAnsi="仿宋" w:eastAsia="仿宋"/>
          <w:color w:val="auto"/>
          <w:sz w:val="24"/>
          <w:szCs w:val="24"/>
        </w:rPr>
      </w:pPr>
      <w:bookmarkStart w:id="45" w:name="_Hlk10840310"/>
      <w:r>
        <w:rPr>
          <w:rFonts w:ascii="仿宋" w:hAnsi="仿宋" w:eastAsia="仿宋"/>
          <w:color w:val="auto"/>
          <w:sz w:val="24"/>
          <w:szCs w:val="24"/>
        </w:rPr>
        <w:t xml:space="preserve">烟台科技学院（原济南大学泉城学院）是国家教育部和山东省人民政府批准成立的全日制普通本科高校。位于人间仙境——山东蓬莱，现有全日制在校生 </w:t>
      </w:r>
      <w:r>
        <w:rPr>
          <w:rFonts w:hint="eastAsia" w:ascii="仿宋" w:hAnsi="仿宋" w:eastAsia="仿宋"/>
          <w:color w:val="auto"/>
          <w:sz w:val="24"/>
          <w:szCs w:val="24"/>
          <w:lang w:val="en-US" w:eastAsia="zh-CN"/>
        </w:rPr>
        <w:t>22</w:t>
      </w:r>
      <w:r>
        <w:rPr>
          <w:rFonts w:ascii="仿宋" w:hAnsi="仿宋" w:eastAsia="仿宋"/>
          <w:color w:val="auto"/>
          <w:sz w:val="24"/>
          <w:szCs w:val="24"/>
        </w:rPr>
        <w:t>000 余人，基础设施完备，教学科研条件优越。根据需要，对</w:t>
      </w:r>
      <w:r>
        <w:rPr>
          <w:rFonts w:hint="eastAsia" w:ascii="仿宋" w:hAnsi="仿宋" w:eastAsia="仿宋"/>
          <w:color w:val="auto"/>
          <w:sz w:val="24"/>
          <w:szCs w:val="24"/>
        </w:rPr>
        <w:t>烟台科技学院</w:t>
      </w:r>
      <w:r>
        <w:rPr>
          <w:rFonts w:hint="eastAsia" w:ascii="仿宋" w:hAnsi="仿宋" w:eastAsia="仿宋"/>
          <w:color w:val="auto"/>
          <w:sz w:val="24"/>
          <w:szCs w:val="24"/>
          <w:lang w:val="en-US" w:eastAsia="zh-CN"/>
        </w:rPr>
        <w:t>大学物理实验室项目</w:t>
      </w:r>
      <w:r>
        <w:rPr>
          <w:rFonts w:ascii="仿宋" w:hAnsi="仿宋" w:eastAsia="仿宋"/>
          <w:color w:val="auto"/>
          <w:sz w:val="24"/>
          <w:szCs w:val="24"/>
        </w:rPr>
        <w:t>进行公开询价，欢迎国内合格参与人参与。</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一、项目说明</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项目编号：YKG202</w:t>
      </w:r>
      <w:r>
        <w:rPr>
          <w:rFonts w:hint="eastAsia" w:ascii="仿宋" w:hAnsi="仿宋" w:eastAsia="仿宋"/>
          <w:color w:val="auto"/>
          <w:sz w:val="24"/>
          <w:szCs w:val="24"/>
          <w:lang w:val="en-US" w:eastAsia="zh-CN"/>
        </w:rPr>
        <w:t>40401-001</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项目名称：</w:t>
      </w:r>
      <w:r>
        <w:rPr>
          <w:rFonts w:hint="eastAsia" w:ascii="仿宋" w:hAnsi="仿宋" w:eastAsia="仿宋"/>
          <w:color w:val="auto"/>
          <w:sz w:val="24"/>
          <w:szCs w:val="24"/>
          <w:lang w:val="en-US" w:eastAsia="zh-CN"/>
        </w:rPr>
        <w:t>大学生生物实验室项目</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参与人资格标准：</w:t>
      </w:r>
    </w:p>
    <w:p>
      <w:pPr>
        <w:widowControl w:val="0"/>
        <w:spacing w:after="0" w:line="500" w:lineRule="exact"/>
        <w:ind w:left="839"/>
        <w:rPr>
          <w:rFonts w:ascii="仿宋" w:hAnsi="仿宋" w:eastAsia="仿宋"/>
          <w:color w:val="auto"/>
          <w:sz w:val="24"/>
          <w:szCs w:val="24"/>
        </w:rPr>
      </w:pPr>
      <w:r>
        <w:rPr>
          <w:rFonts w:hint="eastAsia" w:ascii="仿宋" w:hAnsi="仿宋" w:eastAsia="仿宋"/>
          <w:color w:val="auto"/>
          <w:sz w:val="24"/>
          <w:szCs w:val="24"/>
        </w:rPr>
        <w:t>本项目不接受联合体参与并采用资格预审制，发布公告后，各潜在参与人提供以下相关证明资料（扫描件），经审核通过后方可参与。</w:t>
      </w:r>
    </w:p>
    <w:p>
      <w:pPr>
        <w:pStyle w:val="54"/>
        <w:numPr>
          <w:ilvl w:val="0"/>
          <w:numId w:val="2"/>
        </w:numPr>
        <w:spacing w:after="0" w:line="460" w:lineRule="exact"/>
        <w:ind w:left="1276" w:firstLineChars="0"/>
        <w:rPr>
          <w:rFonts w:ascii="仿宋" w:hAnsi="仿宋" w:eastAsia="仿宋"/>
          <w:color w:val="auto"/>
          <w:sz w:val="24"/>
          <w:szCs w:val="24"/>
        </w:rPr>
      </w:pPr>
      <w:r>
        <w:rPr>
          <w:rFonts w:hint="eastAsia" w:ascii="仿宋" w:hAnsi="仿宋" w:eastAsia="仿宋"/>
          <w:color w:val="auto"/>
          <w:sz w:val="24"/>
          <w:szCs w:val="24"/>
        </w:rPr>
        <w:t>在中国境内注册具有独立法人资格且注册时间超过三年，具有有效的营业执照、税务登记证、组织机构代码证或具有“三证合一”营业执照；</w:t>
      </w:r>
    </w:p>
    <w:p>
      <w:pPr>
        <w:pStyle w:val="54"/>
        <w:numPr>
          <w:ilvl w:val="0"/>
          <w:numId w:val="2"/>
        </w:numPr>
        <w:spacing w:after="0" w:line="460" w:lineRule="exact"/>
        <w:ind w:left="1276" w:firstLineChars="0"/>
        <w:rPr>
          <w:rFonts w:ascii="仿宋" w:hAnsi="仿宋" w:eastAsia="仿宋"/>
          <w:color w:val="auto"/>
          <w:sz w:val="24"/>
          <w:szCs w:val="24"/>
        </w:rPr>
      </w:pPr>
      <w:r>
        <w:rPr>
          <w:rFonts w:hint="eastAsia" w:ascii="仿宋" w:hAnsi="仿宋" w:eastAsia="仿宋"/>
          <w:color w:val="auto"/>
          <w:sz w:val="24"/>
          <w:szCs w:val="24"/>
        </w:rPr>
        <w:t>参与人为代理商的，则必须具有设备厂家针对所投主要产品的授权书及售后服务承诺书；</w:t>
      </w:r>
    </w:p>
    <w:p>
      <w:pPr>
        <w:pStyle w:val="54"/>
        <w:numPr>
          <w:ilvl w:val="0"/>
          <w:numId w:val="2"/>
        </w:numPr>
        <w:spacing w:after="0" w:line="460" w:lineRule="exact"/>
        <w:ind w:left="1276" w:firstLineChars="0"/>
        <w:rPr>
          <w:rFonts w:ascii="仿宋" w:hAnsi="仿宋" w:eastAsia="仿宋"/>
          <w:color w:val="auto"/>
          <w:sz w:val="24"/>
          <w:szCs w:val="24"/>
        </w:rPr>
      </w:pPr>
      <w:r>
        <w:rPr>
          <w:rFonts w:hint="eastAsia" w:ascii="仿宋" w:hAnsi="仿宋" w:eastAsia="仿宋"/>
          <w:color w:val="auto"/>
          <w:sz w:val="24"/>
          <w:szCs w:val="24"/>
        </w:rPr>
        <w:t>参与人在本公告发布之日起算的三年内，同时满足以下三个条件：1）未受到行政机关以下种类行政处罚的：暂扣许可证件、降低资质等级、吊销许可证件、限制开展生产经营活动、责令停产停业、责令关闭、限制从业；2）未处于或未曾经处于“失信被执行人”状态的；3）未处于或未曾经处于重大税收违法案件当事人名单或政府采购严重违法失信行为</w:t>
      </w:r>
      <w:bookmarkStart w:id="180" w:name="_GoBack"/>
      <w:bookmarkEnd w:id="180"/>
      <w:r>
        <w:rPr>
          <w:rFonts w:hint="eastAsia" w:ascii="仿宋" w:hAnsi="仿宋" w:eastAsia="仿宋"/>
          <w:color w:val="auto"/>
          <w:sz w:val="24"/>
          <w:szCs w:val="24"/>
        </w:rPr>
        <w:t>记录名单状态的。</w:t>
      </w:r>
      <w:r>
        <w:rPr>
          <w:rFonts w:hint="eastAsia" w:ascii="仿宋" w:hAnsi="仿宋" w:eastAsia="仿宋"/>
          <w:b/>
          <w:bCs/>
          <w:color w:val="auto"/>
          <w:sz w:val="24"/>
          <w:szCs w:val="24"/>
        </w:rPr>
        <w:t>参与人需对以上情况提供《承诺书》</w:t>
      </w:r>
      <w:r>
        <w:rPr>
          <w:rFonts w:hint="eastAsia" w:ascii="仿宋" w:hAnsi="仿宋" w:eastAsia="仿宋"/>
          <w:color w:val="auto"/>
          <w:sz w:val="24"/>
          <w:szCs w:val="24"/>
        </w:rPr>
        <w:t>，</w:t>
      </w:r>
      <w:r>
        <w:rPr>
          <w:rFonts w:hint="eastAsia" w:ascii="仿宋" w:hAnsi="仿宋" w:eastAsia="仿宋"/>
          <w:color w:val="auto"/>
          <w:sz w:val="24"/>
          <w:szCs w:val="24"/>
        </w:rPr>
        <w:t>以及“信用中国”征信报告。</w:t>
      </w:r>
    </w:p>
    <w:p>
      <w:pPr>
        <w:pStyle w:val="54"/>
        <w:numPr>
          <w:ilvl w:val="0"/>
          <w:numId w:val="2"/>
        </w:numPr>
        <w:spacing w:after="0" w:line="460" w:lineRule="exact"/>
        <w:ind w:left="1276" w:firstLineChars="0"/>
        <w:rPr>
          <w:rFonts w:ascii="仿宋" w:hAnsi="仿宋" w:eastAsia="仿宋"/>
          <w:color w:val="auto"/>
          <w:sz w:val="24"/>
          <w:szCs w:val="24"/>
        </w:rPr>
      </w:pPr>
      <w:r>
        <w:rPr>
          <w:rFonts w:hint="eastAsia" w:ascii="仿宋" w:hAnsi="仿宋" w:eastAsia="仿宋"/>
          <w:color w:val="auto"/>
          <w:sz w:val="24"/>
          <w:szCs w:val="24"/>
        </w:rPr>
        <w:t>参与人应具有</w:t>
      </w:r>
      <w:r>
        <w:rPr>
          <w:rFonts w:hint="eastAsia" w:ascii="仿宋" w:hAnsi="仿宋" w:eastAsia="仿宋"/>
          <w:color w:val="auto"/>
          <w:sz w:val="24"/>
          <w:szCs w:val="24"/>
          <w:lang w:val="en-US" w:eastAsia="zh-CN"/>
        </w:rPr>
        <w:t>实验器材销售及售后</w:t>
      </w:r>
      <w:r>
        <w:rPr>
          <w:rFonts w:hint="eastAsia" w:ascii="仿宋" w:hAnsi="仿宋" w:eastAsia="仿宋"/>
          <w:color w:val="auto"/>
          <w:sz w:val="24"/>
          <w:szCs w:val="24"/>
          <w:lang w:val="en-US" w:eastAsia="zh-CN"/>
        </w:rPr>
        <w:t>资质（或厂家授权）。</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资格预审：请参与人在购买竞争性磋商文件前将以上第4条所列的证明材料以电子扫描件形式发送给采购人进行审核，审核通过后根据本项目联系人指引，注册中教集团SRM采购平台。联系人：</w:t>
      </w:r>
      <w:r>
        <w:rPr>
          <w:rFonts w:hint="eastAsia" w:ascii="仿宋" w:hAnsi="仿宋" w:eastAsia="仿宋"/>
          <w:color w:val="auto"/>
          <w:sz w:val="24"/>
          <w:szCs w:val="24"/>
          <w:lang w:val="en-US" w:eastAsia="zh-CN"/>
        </w:rPr>
        <w:t>邵阳</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18754518111</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报价响应文件递交方式：</w:t>
      </w:r>
      <w:r>
        <w:rPr>
          <w:rFonts w:hint="eastAsia" w:ascii="仿宋" w:hAnsi="仿宋" w:eastAsia="仿宋"/>
          <w:color w:val="auto"/>
          <w:sz w:val="24"/>
          <w:szCs w:val="24"/>
          <w:lang w:eastAsia="zh-CN"/>
        </w:rPr>
        <w:t>☑</w:t>
      </w:r>
      <w:r>
        <w:rPr>
          <w:rFonts w:hint="eastAsia" w:ascii="仿宋" w:hAnsi="仿宋" w:eastAsia="仿宋"/>
          <w:color w:val="auto"/>
          <w:sz w:val="24"/>
          <w:szCs w:val="24"/>
        </w:rPr>
        <w:t>SRM采购平台/</w:t>
      </w:r>
      <w:r>
        <w:rPr>
          <w:rFonts w:hint="eastAsia" w:ascii="仿宋" w:hAnsi="仿宋" w:eastAsia="仿宋"/>
          <w:color w:val="auto"/>
          <w:sz w:val="24"/>
          <w:szCs w:val="24"/>
          <w:lang w:eastAsia="zh-CN"/>
        </w:rPr>
        <w:t>☑</w:t>
      </w:r>
      <w:r>
        <w:rPr>
          <w:rFonts w:hint="eastAsia" w:ascii="仿宋" w:hAnsi="仿宋" w:eastAsia="仿宋"/>
          <w:color w:val="auto"/>
          <w:sz w:val="24"/>
          <w:szCs w:val="24"/>
        </w:rPr>
        <w:t>按规定时间送达或邮寄。</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报价响应文件递交截止时间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2024</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04</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25</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rPr>
        <w:t>下午</w:t>
      </w:r>
      <w:r>
        <w:rPr>
          <w:rFonts w:ascii="仿宋" w:hAnsi="仿宋" w:eastAsia="仿宋"/>
          <w:color w:val="auto"/>
          <w:sz w:val="24"/>
          <w:szCs w:val="24"/>
          <w:shd w:val="clear" w:color="auto" w:fill="FFFFFF"/>
        </w:rPr>
        <w:t>16</w:t>
      </w:r>
      <w:r>
        <w:rPr>
          <w:rFonts w:hint="eastAsia" w:ascii="仿宋" w:hAnsi="仿宋" w:eastAsia="仿宋"/>
          <w:color w:val="auto"/>
          <w:sz w:val="24"/>
          <w:szCs w:val="24"/>
          <w:shd w:val="clear" w:color="auto" w:fill="FFFFFF"/>
        </w:rPr>
        <w:t>:</w:t>
      </w:r>
      <w:r>
        <w:rPr>
          <w:rFonts w:ascii="仿宋" w:hAnsi="仿宋" w:eastAsia="仿宋"/>
          <w:color w:val="auto"/>
          <w:sz w:val="24"/>
          <w:szCs w:val="24"/>
          <w:shd w:val="clear" w:color="auto" w:fill="FFFFFF"/>
        </w:rPr>
        <w:t>00</w:t>
      </w:r>
      <w:r>
        <w:rPr>
          <w:rFonts w:hint="eastAsia" w:ascii="仿宋" w:hAnsi="仿宋" w:eastAsia="仿宋"/>
          <w:color w:val="auto"/>
          <w:sz w:val="24"/>
          <w:szCs w:val="24"/>
          <w:shd w:val="clear" w:color="auto" w:fill="FFFFFF"/>
        </w:rPr>
        <w:t>前（以参与人快递寄出时间为准，邮寄时应提前告知）。</w:t>
      </w:r>
    </w:p>
    <w:p>
      <w:pPr>
        <w:tabs>
          <w:tab w:val="left" w:pos="839"/>
          <w:tab w:val="left" w:pos="1469"/>
        </w:tabs>
        <w:spacing w:after="0" w:line="500" w:lineRule="exact"/>
        <w:ind w:left="720" w:leftChars="218" w:hanging="240" w:hangingChars="100"/>
        <w:rPr>
          <w:rFonts w:ascii="仿宋" w:hAnsi="仿宋" w:eastAsia="仿宋"/>
          <w:color w:val="auto"/>
          <w:sz w:val="24"/>
          <w:szCs w:val="24"/>
        </w:rPr>
      </w:pPr>
      <w:r>
        <w:rPr>
          <w:rFonts w:hint="eastAsia" w:ascii="仿宋" w:hAnsi="仿宋" w:eastAsia="仿宋"/>
          <w:color w:val="auto"/>
          <w:sz w:val="24"/>
          <w:szCs w:val="24"/>
        </w:rPr>
        <w:t>报价响应文件递交地点：烟台科技学院蓬莱区仙境西路34号商务A座216室（采购科）</w:t>
      </w:r>
    </w:p>
    <w:p>
      <w:pPr>
        <w:pStyle w:val="54"/>
        <w:numPr>
          <w:ilvl w:val="0"/>
          <w:numId w:val="0"/>
        </w:numPr>
        <w:spacing w:after="0" w:line="500" w:lineRule="exact"/>
        <w:ind w:left="420" w:leftChars="0"/>
        <w:rPr>
          <w:rFonts w:ascii="仿宋" w:hAnsi="仿宋" w:eastAsia="仿宋"/>
          <w:color w:val="auto"/>
          <w:sz w:val="24"/>
          <w:szCs w:val="24"/>
        </w:rPr>
      </w:pPr>
    </w:p>
    <w:p>
      <w:pPr>
        <w:pStyle w:val="54"/>
        <w:spacing w:after="0" w:line="500" w:lineRule="exact"/>
        <w:ind w:left="839" w:firstLine="0" w:firstLineChars="0"/>
        <w:rPr>
          <w:rFonts w:hint="default"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邵阳</w:t>
      </w:r>
      <w:r>
        <w:rPr>
          <w:rFonts w:hint="eastAsia" w:ascii="仿宋" w:hAnsi="仿宋" w:eastAsia="仿宋"/>
          <w:color w:val="auto"/>
          <w:sz w:val="24"/>
          <w:szCs w:val="24"/>
        </w:rPr>
        <w:t>；联系电话：</w:t>
      </w:r>
      <w:r>
        <w:rPr>
          <w:rFonts w:hint="eastAsia" w:ascii="仿宋" w:hAnsi="仿宋" w:eastAsia="仿宋"/>
          <w:color w:val="auto"/>
          <w:sz w:val="24"/>
          <w:szCs w:val="24"/>
          <w:lang w:val="en-US" w:eastAsia="zh-CN"/>
        </w:rPr>
        <w:t>18754518111</w:t>
      </w:r>
    </w:p>
    <w:p>
      <w:pPr>
        <w:widowControl w:val="0"/>
        <w:numPr>
          <w:ilvl w:val="1"/>
          <w:numId w:val="1"/>
        </w:numPr>
        <w:spacing w:after="0" w:line="460" w:lineRule="exact"/>
        <w:rPr>
          <w:rFonts w:ascii="仿宋" w:hAnsi="仿宋" w:eastAsia="仿宋"/>
          <w:color w:val="auto"/>
          <w:sz w:val="24"/>
          <w:szCs w:val="24"/>
        </w:rPr>
      </w:pPr>
      <w:r>
        <w:rPr>
          <w:rFonts w:hint="eastAsia" w:ascii="仿宋" w:hAnsi="仿宋" w:eastAsia="仿宋"/>
          <w:color w:val="auto"/>
          <w:sz w:val="24"/>
          <w:szCs w:val="24"/>
        </w:rPr>
        <w:t>参加本项目的参与人如对公开询价邀请函列示内容存有疑问的，</w:t>
      </w:r>
      <w:bookmarkStart w:id="46" w:name="_Hlk97917519"/>
      <w:r>
        <w:rPr>
          <w:rFonts w:hint="eastAsia" w:ascii="仿宋" w:hAnsi="仿宋" w:eastAsia="仿宋"/>
          <w:color w:val="auto"/>
          <w:sz w:val="24"/>
          <w:szCs w:val="24"/>
        </w:rPr>
        <w:t>请在购买竞争性磋商文件截止之日前将问题以书面形式（有效签署的原件并加盖公章）提交，采购人不对超时提交及未加盖公章的质疑文件进行回复。</w:t>
      </w:r>
    </w:p>
    <w:p>
      <w:pPr>
        <w:widowControl w:val="0"/>
        <w:tabs>
          <w:tab w:val="left" w:pos="839"/>
        </w:tabs>
        <w:spacing w:after="0" w:line="460" w:lineRule="exact"/>
        <w:ind w:left="839"/>
        <w:rPr>
          <w:rFonts w:hint="eastAsia" w:ascii="仿宋" w:hAnsi="仿宋" w:eastAsia="仿宋"/>
          <w:color w:val="auto"/>
          <w:sz w:val="24"/>
          <w:szCs w:val="24"/>
          <w:lang w:val="en-US" w:eastAsia="zh-CN"/>
        </w:rPr>
      </w:pPr>
      <w:r>
        <w:rPr>
          <w:rFonts w:hint="eastAsia" w:ascii="仿宋" w:hAnsi="仿宋" w:eastAsia="仿宋"/>
          <w:color w:val="auto"/>
          <w:sz w:val="24"/>
          <w:szCs w:val="24"/>
        </w:rPr>
        <w:t>项目联系人（学校采购部门）：</w:t>
      </w:r>
      <w:r>
        <w:rPr>
          <w:rFonts w:hint="eastAsia" w:ascii="仿宋" w:hAnsi="仿宋" w:eastAsia="仿宋"/>
          <w:color w:val="auto"/>
          <w:sz w:val="24"/>
          <w:szCs w:val="24"/>
          <w:lang w:val="en-US" w:eastAsia="zh-CN"/>
        </w:rPr>
        <w:t>邵阳</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18754518111</w:t>
      </w:r>
    </w:p>
    <w:p>
      <w:pPr>
        <w:widowControl w:val="0"/>
        <w:tabs>
          <w:tab w:val="left" w:pos="839"/>
        </w:tabs>
        <w:spacing w:after="0" w:line="460" w:lineRule="exact"/>
        <w:ind w:left="839"/>
        <w:rPr>
          <w:rFonts w:hint="default" w:ascii="仿宋" w:hAnsi="仿宋" w:eastAsia="仿宋"/>
          <w:color w:val="auto"/>
          <w:sz w:val="24"/>
          <w:szCs w:val="24"/>
          <w:lang w:val="en-US" w:eastAsia="zh-CN"/>
        </w:rPr>
      </w:pPr>
      <w:r>
        <w:rPr>
          <w:rFonts w:hint="eastAsia" w:ascii="仿宋" w:hAnsi="仿宋" w:eastAsia="仿宋"/>
          <w:color w:val="auto"/>
          <w:sz w:val="24"/>
          <w:szCs w:val="24"/>
        </w:rPr>
        <w:t>采购单位联系人（集团后勤部项目负责人）：</w:t>
      </w:r>
      <w:r>
        <w:rPr>
          <w:rFonts w:hint="eastAsia" w:ascii="仿宋" w:hAnsi="仿宋" w:eastAsia="仿宋"/>
          <w:color w:val="auto"/>
          <w:sz w:val="24"/>
          <w:szCs w:val="24"/>
          <w:lang w:val="en-US" w:eastAsia="zh-CN"/>
        </w:rPr>
        <w:t>邹松林</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0791-88106128</w:t>
      </w:r>
    </w:p>
    <w:p>
      <w:pPr>
        <w:widowControl w:val="0"/>
        <w:numPr>
          <w:ilvl w:val="1"/>
          <w:numId w:val="1"/>
        </w:numPr>
        <w:spacing w:after="0" w:line="460" w:lineRule="exact"/>
        <w:rPr>
          <w:rFonts w:ascii="仿宋" w:hAnsi="仿宋" w:eastAsia="仿宋"/>
          <w:color w:val="auto"/>
          <w:sz w:val="24"/>
          <w:szCs w:val="24"/>
        </w:rPr>
      </w:pPr>
      <w:r>
        <w:rPr>
          <w:rFonts w:hint="eastAsia" w:ascii="仿宋" w:hAnsi="仿宋" w:eastAsia="仿宋"/>
          <w:color w:val="auto"/>
          <w:sz w:val="24"/>
          <w:szCs w:val="24"/>
        </w:rPr>
        <w:t>本项目最终成交结果会在中教集团旗下各平台公示，网址1：www.ceghqxz.com；网址2：https://srm.educationgroup.cn。参加本项目的参与人如对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请以书面形式（有效签署的原件并加盖公章），并附有相关的证据材料，提交至集团监察审计部。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投诉受理部门：中教集团监察审计部，投诉电话： 0791-88106510 /0791-88102608</w:t>
      </w:r>
    </w:p>
    <w:p>
      <w:pPr>
        <w:widowControl w:val="0"/>
        <w:tabs>
          <w:tab w:val="left" w:pos="839"/>
        </w:tabs>
        <w:spacing w:after="0" w:line="460" w:lineRule="exact"/>
        <w:ind w:left="420"/>
        <w:rPr>
          <w:rFonts w:ascii="仿宋" w:hAnsi="仿宋" w:eastAsia="仿宋"/>
          <w:b/>
          <w:bCs/>
          <w:color w:val="auto"/>
          <w:sz w:val="24"/>
          <w:szCs w:val="24"/>
        </w:rPr>
      </w:pPr>
      <w:r>
        <w:rPr>
          <w:rFonts w:hint="eastAsia" w:ascii="仿宋" w:hAnsi="仿宋" w:eastAsia="仿宋"/>
          <w:color w:val="auto"/>
          <w:sz w:val="24"/>
          <w:szCs w:val="24"/>
        </w:rPr>
        <w:t>二、参与人须知</w:t>
      </w:r>
    </w:p>
    <w:p>
      <w:pPr>
        <w:widowControl w:val="0"/>
        <w:numPr>
          <w:ilvl w:val="1"/>
          <w:numId w:val="3"/>
        </w:numPr>
        <w:spacing w:after="0" w:line="500" w:lineRule="exact"/>
        <w:rPr>
          <w:rFonts w:ascii="仿宋" w:hAnsi="仿宋" w:eastAsia="仿宋"/>
          <w:color w:val="auto"/>
          <w:sz w:val="24"/>
          <w:szCs w:val="24"/>
        </w:rPr>
      </w:pPr>
      <w:r>
        <w:rPr>
          <w:rFonts w:hint="eastAsia" w:ascii="仿宋" w:hAnsi="仿宋" w:eastAsia="仿宋"/>
          <w:color w:val="auto"/>
          <w:sz w:val="24"/>
          <w:szCs w:val="24"/>
        </w:rPr>
        <w:t>所有货物均以人民币报价。</w:t>
      </w:r>
    </w:p>
    <w:p>
      <w:pPr>
        <w:widowControl w:val="0"/>
        <w:numPr>
          <w:ilvl w:val="1"/>
          <w:numId w:val="3"/>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w:t>
      </w:r>
      <w:r>
        <w:rPr>
          <w:rFonts w:ascii="仿宋" w:hAnsi="仿宋" w:eastAsia="仿宋"/>
          <w:color w:val="auto"/>
          <w:sz w:val="24"/>
          <w:szCs w:val="24"/>
        </w:rPr>
        <w:t>必须用A4幅面纸张打印</w:t>
      </w:r>
      <w:r>
        <w:rPr>
          <w:rFonts w:hint="eastAsia" w:ascii="仿宋" w:hAnsi="仿宋" w:eastAsia="仿宋"/>
          <w:color w:val="auto"/>
          <w:sz w:val="24"/>
          <w:szCs w:val="24"/>
        </w:rPr>
        <w:t>，须由参与人填写并加盖公章。</w:t>
      </w:r>
    </w:p>
    <w:p>
      <w:pPr>
        <w:widowControl w:val="0"/>
        <w:numPr>
          <w:ilvl w:val="1"/>
          <w:numId w:val="3"/>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color w:val="auto"/>
          <w:sz w:val="24"/>
          <w:szCs w:val="24"/>
        </w:rPr>
      </w:pPr>
      <w:r>
        <w:rPr>
          <w:rFonts w:hint="eastAsia" w:ascii="仿宋" w:hAnsi="仿宋" w:eastAsia="仿宋"/>
          <w:color w:val="auto"/>
          <w:sz w:val="24"/>
          <w:szCs w:val="24"/>
        </w:rPr>
        <w:t>一个参与人只能提交一个报价响应文件，本项目不接受联合体报价。</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三、售后服务要求</w:t>
      </w:r>
    </w:p>
    <w:p>
      <w:pPr>
        <w:pStyle w:val="54"/>
        <w:widowControl w:val="0"/>
        <w:numPr>
          <w:ilvl w:val="3"/>
          <w:numId w:val="4"/>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质保期:</w:t>
      </w:r>
      <w:r>
        <w:rPr>
          <w:rFonts w:hint="eastAsia" w:ascii="仿宋" w:hAnsi="仿宋" w:eastAsia="仿宋"/>
          <w:color w:val="auto"/>
          <w:sz w:val="24"/>
          <w:szCs w:val="24"/>
          <w:lang w:val="en-US" w:eastAsia="zh-CN"/>
        </w:rPr>
        <w:t>24</w:t>
      </w:r>
      <w:r>
        <w:rPr>
          <w:rFonts w:hint="eastAsia" w:ascii="仿宋" w:hAnsi="仿宋" w:eastAsia="仿宋"/>
          <w:color w:val="auto"/>
          <w:sz w:val="24"/>
          <w:szCs w:val="24"/>
        </w:rPr>
        <w:t>个月</w:t>
      </w:r>
    </w:p>
    <w:p>
      <w:pPr>
        <w:pStyle w:val="54"/>
        <w:widowControl w:val="0"/>
        <w:numPr>
          <w:ilvl w:val="0"/>
          <w:numId w:val="4"/>
        </w:numPr>
        <w:spacing w:after="0" w:line="500" w:lineRule="exact"/>
        <w:ind w:firstLineChars="0"/>
        <w:jc w:val="left"/>
        <w:rPr>
          <w:rFonts w:ascii="仿宋" w:hAnsi="仿宋" w:eastAsia="仿宋"/>
          <w:color w:val="auto"/>
          <w:sz w:val="24"/>
          <w:szCs w:val="24"/>
        </w:rPr>
      </w:pPr>
      <w:r>
        <w:rPr>
          <w:rFonts w:hint="eastAsia" w:ascii="仿宋" w:hAnsi="仿宋" w:eastAsia="仿宋"/>
          <w:color w:val="auto"/>
          <w:sz w:val="24"/>
          <w:szCs w:val="24"/>
        </w:rPr>
        <w:t>应急维修时间安排：</w:t>
      </w:r>
      <w:r>
        <w:rPr>
          <w:rFonts w:hint="eastAsia" w:ascii="仿宋" w:hAnsi="仿宋" w:eastAsia="仿宋"/>
          <w:color w:val="auto"/>
          <w:sz w:val="24"/>
          <w:szCs w:val="24"/>
          <w:lang w:val="en-US" w:eastAsia="zh-CN"/>
        </w:rPr>
        <w:t>2小时响应，8小时解决问题</w:t>
      </w:r>
    </w:p>
    <w:p>
      <w:pPr>
        <w:pStyle w:val="54"/>
        <w:widowControl w:val="0"/>
        <w:numPr>
          <w:ilvl w:val="0"/>
          <w:numId w:val="4"/>
        </w:numPr>
        <w:spacing w:after="0" w:line="500" w:lineRule="exact"/>
        <w:ind w:firstLineChars="0"/>
        <w:jc w:val="left"/>
        <w:rPr>
          <w:rFonts w:ascii="仿宋" w:hAnsi="仿宋" w:eastAsia="仿宋"/>
          <w:color w:val="auto"/>
          <w:sz w:val="24"/>
          <w:szCs w:val="24"/>
        </w:rPr>
      </w:pPr>
      <w:r>
        <w:rPr>
          <w:rFonts w:hint="eastAsia" w:ascii="仿宋" w:hAnsi="仿宋" w:eastAsia="仿宋"/>
          <w:color w:val="auto"/>
          <w:sz w:val="24"/>
          <w:szCs w:val="24"/>
        </w:rPr>
        <w:t>维修地点、地址、联系电话及联系人员：</w:t>
      </w:r>
      <w:r>
        <w:rPr>
          <w:rFonts w:hint="eastAsia" w:ascii="仿宋" w:hAnsi="仿宋" w:eastAsia="仿宋"/>
          <w:color w:val="auto"/>
          <w:sz w:val="24"/>
          <w:szCs w:val="24"/>
          <w:lang w:val="en-US" w:eastAsia="zh-CN"/>
        </w:rPr>
        <w:t>烟台科技学院，烟台市蓬莱区仙境西路34号</w:t>
      </w:r>
    </w:p>
    <w:p>
      <w:pPr>
        <w:pStyle w:val="54"/>
        <w:widowControl w:val="0"/>
        <w:numPr>
          <w:ilvl w:val="0"/>
          <w:numId w:val="4"/>
        </w:numPr>
        <w:spacing w:after="0" w:line="500" w:lineRule="exact"/>
        <w:ind w:firstLineChars="0"/>
        <w:jc w:val="left"/>
        <w:rPr>
          <w:rFonts w:ascii="仿宋" w:hAnsi="仿宋" w:eastAsia="仿宋"/>
          <w:color w:val="auto"/>
          <w:sz w:val="24"/>
          <w:szCs w:val="24"/>
        </w:rPr>
      </w:pPr>
      <w:r>
        <w:rPr>
          <w:rFonts w:hint="eastAsia" w:ascii="仿宋" w:hAnsi="仿宋" w:eastAsia="仿宋"/>
          <w:color w:val="auto"/>
          <w:sz w:val="24"/>
          <w:szCs w:val="24"/>
        </w:rPr>
        <w:t>维修服务收费标准：</w:t>
      </w:r>
      <w:r>
        <w:rPr>
          <w:rFonts w:hint="eastAsia" w:ascii="仿宋" w:hAnsi="仿宋" w:eastAsia="仿宋"/>
          <w:color w:val="auto"/>
          <w:sz w:val="24"/>
          <w:szCs w:val="24"/>
          <w:lang w:val="en-US" w:eastAsia="zh-CN"/>
        </w:rPr>
        <w:t>质保期内免费</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四、确定成交参与人标准及原则：</w:t>
      </w:r>
    </w:p>
    <w:p>
      <w:pPr>
        <w:pStyle w:val="54"/>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4"/>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参与人所投物品符合需求、质量和服务等的要求,经过磋商所报价格为合理价格的参与人为成交参与人。</w:t>
      </w:r>
    </w:p>
    <w:p>
      <w:pPr>
        <w:pStyle w:val="54"/>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最低报价不作为成交的保证。</w:t>
      </w:r>
    </w:p>
    <w:p>
      <w:pPr>
        <w:pStyle w:val="54"/>
        <w:spacing w:after="0" w:line="500" w:lineRule="exact"/>
        <w:ind w:left="851" w:firstLine="0" w:firstLineChars="0"/>
        <w:jc w:val="left"/>
        <w:rPr>
          <w:rFonts w:ascii="仿宋" w:hAnsi="仿宋" w:eastAsia="仿宋"/>
          <w:color w:val="auto"/>
          <w:sz w:val="24"/>
          <w:szCs w:val="24"/>
        </w:rPr>
      </w:pPr>
    </w:p>
    <w:p>
      <w:pPr>
        <w:pStyle w:val="54"/>
        <w:spacing w:after="0" w:line="500" w:lineRule="exact"/>
        <w:ind w:left="851" w:firstLine="0" w:firstLineChars="0"/>
        <w:jc w:val="left"/>
        <w:rPr>
          <w:rFonts w:ascii="仿宋" w:hAnsi="仿宋" w:eastAsia="仿宋"/>
          <w:color w:val="auto"/>
          <w:sz w:val="24"/>
          <w:szCs w:val="24"/>
        </w:rPr>
      </w:pPr>
    </w:p>
    <w:p>
      <w:pPr>
        <w:pStyle w:val="54"/>
        <w:spacing w:after="0" w:line="500" w:lineRule="exact"/>
        <w:ind w:left="851" w:firstLine="0" w:firstLineChars="0"/>
        <w:jc w:val="left"/>
        <w:rPr>
          <w:rFonts w:ascii="仿宋" w:hAnsi="仿宋" w:eastAsia="仿宋"/>
          <w:color w:val="auto"/>
          <w:sz w:val="24"/>
          <w:szCs w:val="24"/>
        </w:rPr>
      </w:pPr>
    </w:p>
    <w:p>
      <w:pPr>
        <w:pStyle w:val="54"/>
        <w:spacing w:after="0" w:line="500" w:lineRule="exact"/>
        <w:ind w:left="851" w:firstLine="0" w:firstLineChars="0"/>
        <w:jc w:val="left"/>
        <w:rPr>
          <w:rFonts w:ascii="仿宋" w:hAnsi="仿宋" w:eastAsia="仿宋"/>
          <w:color w:val="auto"/>
          <w:sz w:val="24"/>
          <w:szCs w:val="24"/>
        </w:rPr>
      </w:pPr>
    </w:p>
    <w:p>
      <w:pPr>
        <w:pStyle w:val="54"/>
        <w:spacing w:after="0" w:line="500" w:lineRule="exact"/>
        <w:ind w:left="7513" w:firstLine="141" w:firstLineChars="59"/>
        <w:jc w:val="left"/>
        <w:rPr>
          <w:rFonts w:ascii="仿宋" w:hAnsi="仿宋" w:eastAsia="仿宋"/>
          <w:color w:val="auto"/>
          <w:sz w:val="24"/>
          <w:szCs w:val="24"/>
        </w:rPr>
      </w:pPr>
      <w:r>
        <w:rPr>
          <w:rFonts w:hint="eastAsia" w:ascii="仿宋" w:hAnsi="仿宋" w:eastAsia="仿宋"/>
          <w:color w:val="auto"/>
          <w:sz w:val="24"/>
          <w:szCs w:val="24"/>
          <w:lang w:val="en-US" w:eastAsia="zh-CN"/>
        </w:rPr>
        <w:t>烟台科技学院</w:t>
      </w:r>
    </w:p>
    <w:p>
      <w:pPr>
        <w:pStyle w:val="54"/>
        <w:spacing w:after="0" w:line="500" w:lineRule="exact"/>
        <w:ind w:left="7371" w:firstLine="0" w:firstLineChars="0"/>
        <w:jc w:val="left"/>
        <w:rPr>
          <w:rFonts w:ascii="仿宋" w:hAnsi="仿宋" w:eastAsia="仿宋"/>
          <w:color w:val="auto"/>
          <w:sz w:val="24"/>
          <w:szCs w:val="24"/>
        </w:rPr>
      </w:pPr>
      <w:r>
        <w:rPr>
          <w:rFonts w:hint="eastAsia" w:ascii="仿宋" w:hAnsi="仿宋" w:eastAsia="仿宋"/>
          <w:color w:val="auto"/>
          <w:sz w:val="24"/>
          <w:szCs w:val="24"/>
          <w:lang w:val="en-US" w:eastAsia="zh-CN"/>
        </w:rPr>
        <w:t>2024</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04</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19</w:t>
      </w:r>
      <w:r>
        <w:rPr>
          <w:rFonts w:hint="eastAsia" w:ascii="仿宋" w:hAnsi="仿宋" w:eastAsia="仿宋"/>
          <w:color w:val="auto"/>
          <w:sz w:val="24"/>
          <w:szCs w:val="24"/>
        </w:rPr>
        <w:t>日</w:t>
      </w:r>
    </w:p>
    <w:p>
      <w:pPr>
        <w:pStyle w:val="54"/>
        <w:spacing w:after="0" w:line="500" w:lineRule="exact"/>
        <w:ind w:left="851" w:firstLine="0" w:firstLineChars="0"/>
        <w:jc w:val="center"/>
        <w:rPr>
          <w:rFonts w:ascii="仿宋" w:hAnsi="仿宋" w:eastAsia="仿宋"/>
          <w:color w:val="auto"/>
          <w:sz w:val="24"/>
          <w:szCs w:val="24"/>
        </w:rPr>
      </w:pPr>
      <w:r>
        <w:rPr>
          <w:rFonts w:ascii="仿宋" w:hAnsi="仿宋" w:eastAsia="仿宋"/>
          <w:color w:val="auto"/>
          <w:sz w:val="28"/>
          <w:szCs w:val="28"/>
        </w:rPr>
        <w:br w:type="page"/>
      </w:r>
      <w:r>
        <w:rPr>
          <w:rFonts w:hint="eastAsia" w:ascii="仿宋" w:hAnsi="仿宋" w:eastAsia="仿宋"/>
          <w:b/>
          <w:color w:val="auto"/>
          <w:sz w:val="44"/>
          <w:szCs w:val="44"/>
        </w:rPr>
        <w:t>公开询价货物一览表</w:t>
      </w:r>
      <w:bookmarkEnd w:id="45"/>
    </w:p>
    <w:p>
      <w:pPr>
        <w:spacing w:line="420" w:lineRule="exact"/>
        <w:jc w:val="center"/>
        <w:rPr>
          <w:rFonts w:ascii="仿宋" w:hAnsi="仿宋" w:eastAsia="仿宋"/>
          <w:b/>
          <w:color w:val="auto"/>
          <w:sz w:val="32"/>
          <w:szCs w:val="32"/>
        </w:rPr>
      </w:pPr>
    </w:p>
    <w:tbl>
      <w:tblPr>
        <w:tblStyle w:val="23"/>
        <w:tblW w:w="4884" w:type="pct"/>
        <w:tblInd w:w="0" w:type="dxa"/>
        <w:tblLayout w:type="autofit"/>
        <w:tblCellMar>
          <w:top w:w="0" w:type="dxa"/>
          <w:left w:w="108" w:type="dxa"/>
          <w:bottom w:w="0" w:type="dxa"/>
          <w:right w:w="108" w:type="dxa"/>
        </w:tblCellMar>
      </w:tblPr>
      <w:tblGrid>
        <w:gridCol w:w="507"/>
        <w:gridCol w:w="1205"/>
        <w:gridCol w:w="1355"/>
        <w:gridCol w:w="2001"/>
        <w:gridCol w:w="642"/>
        <w:gridCol w:w="517"/>
        <w:gridCol w:w="819"/>
        <w:gridCol w:w="844"/>
        <w:gridCol w:w="935"/>
        <w:gridCol w:w="939"/>
      </w:tblGrid>
      <w:tr>
        <w:tblPrEx>
          <w:tblCellMar>
            <w:top w:w="0" w:type="dxa"/>
            <w:left w:w="108" w:type="dxa"/>
            <w:bottom w:w="0" w:type="dxa"/>
            <w:right w:w="108" w:type="dxa"/>
          </w:tblCellMar>
        </w:tblPrEx>
        <w:trPr>
          <w:trHeight w:val="492" w:hRule="atLeast"/>
        </w:trPr>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序号</w:t>
            </w:r>
          </w:p>
        </w:tc>
        <w:tc>
          <w:tcPr>
            <w:tcW w:w="61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设备名称</w:t>
            </w:r>
          </w:p>
        </w:tc>
        <w:tc>
          <w:tcPr>
            <w:tcW w:w="694"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bookmarkStart w:id="47" w:name="_Hlk78721021"/>
            <w:r>
              <w:rPr>
                <w:rFonts w:hint="eastAsia" w:ascii="仿宋" w:hAnsi="仿宋" w:eastAsia="仿宋" w:cs="Tahoma"/>
                <w:b/>
                <w:bCs/>
                <w:color w:val="auto"/>
                <w:sz w:val="20"/>
                <w:szCs w:val="20"/>
              </w:rPr>
              <w:t>规格型</w:t>
            </w:r>
            <w:bookmarkEnd w:id="47"/>
            <w:r>
              <w:rPr>
                <w:rFonts w:hint="eastAsia" w:ascii="仿宋" w:hAnsi="仿宋" w:eastAsia="仿宋" w:cs="Tahoma"/>
                <w:b/>
                <w:bCs/>
                <w:color w:val="auto"/>
                <w:sz w:val="20"/>
                <w:szCs w:val="20"/>
              </w:rPr>
              <w:t>号</w:t>
            </w:r>
          </w:p>
          <w:p>
            <w:pPr>
              <w:rPr>
                <w:rFonts w:ascii="仿宋" w:hAnsi="仿宋" w:eastAsia="仿宋" w:cs="Tahoma"/>
                <w:b/>
                <w:bCs/>
                <w:color w:val="auto"/>
                <w:sz w:val="20"/>
                <w:szCs w:val="20"/>
              </w:rPr>
            </w:pPr>
            <w:r>
              <w:rPr>
                <w:rFonts w:hint="eastAsia" w:ascii="仿宋" w:hAnsi="仿宋" w:eastAsia="仿宋" w:cs="Tahoma"/>
                <w:b/>
                <w:bCs/>
                <w:color w:val="auto"/>
                <w:sz w:val="20"/>
                <w:szCs w:val="20"/>
              </w:rPr>
              <w:t>（厂家提供）</w:t>
            </w:r>
          </w:p>
        </w:tc>
        <w:tc>
          <w:tcPr>
            <w:tcW w:w="1024"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技术参数</w:t>
            </w:r>
          </w:p>
        </w:tc>
        <w:tc>
          <w:tcPr>
            <w:tcW w:w="32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单位</w:t>
            </w:r>
          </w:p>
        </w:tc>
        <w:tc>
          <w:tcPr>
            <w:tcW w:w="265"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数量</w:t>
            </w:r>
          </w:p>
        </w:tc>
        <w:tc>
          <w:tcPr>
            <w:tcW w:w="41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单价（元）</w:t>
            </w:r>
          </w:p>
        </w:tc>
        <w:tc>
          <w:tcPr>
            <w:tcW w:w="432"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总价（元）</w:t>
            </w:r>
          </w:p>
        </w:tc>
        <w:tc>
          <w:tcPr>
            <w:tcW w:w="47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是否提供样品</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备注</w:t>
            </w:r>
          </w:p>
        </w:tc>
      </w:tr>
      <w:tr>
        <w:tblPrEx>
          <w:tblCellMar>
            <w:top w:w="0" w:type="dxa"/>
            <w:left w:w="108" w:type="dxa"/>
            <w:bottom w:w="0" w:type="dxa"/>
            <w:right w:w="108" w:type="dxa"/>
          </w:tblCellMar>
        </w:tblPrEx>
        <w:trPr>
          <w:trHeight w:val="794" w:hRule="atLeast"/>
        </w:trPr>
        <w:tc>
          <w:tcPr>
            <w:tcW w:w="260"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1</w:t>
            </w:r>
          </w:p>
        </w:tc>
        <w:tc>
          <w:tcPr>
            <w:tcW w:w="617"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color w:val="auto"/>
                <w:sz w:val="21"/>
                <w:szCs w:val="21"/>
              </w:rPr>
              <w:t>杨氏模量测定仪（拉伸法）</w:t>
            </w:r>
          </w:p>
        </w:tc>
        <w:tc>
          <w:tcPr>
            <w:tcW w:w="694"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1024" w:type="pct"/>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1、望远镜采用内调焦系统，使最短视距缩小，便于室内使用；          </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2、大孔径光杠杆（光学玻璃真空镀膜）：φ40㎜，带重锤平衡装置；    </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3、望远镜放大倍数:30倍，物镜有效孔径：42㎜，视场角：1°26′；        4、标尺到光杠杆的最近视距：0.65m ；</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5、测量架（不锈钢材质）：1米、1.8米任选，含安全防护装置；</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6、砝码：7*1公斤*（1.8m） 7*0.25公斤（1m）；</w:t>
            </w:r>
          </w:p>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color w:val="auto"/>
                <w:sz w:val="21"/>
                <w:szCs w:val="21"/>
              </w:rPr>
              <w:t>7、钢丝夹具采用向心锁紧结构、水平仪、钢丝等。</w:t>
            </w:r>
          </w:p>
        </w:tc>
        <w:tc>
          <w:tcPr>
            <w:tcW w:w="329"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台</w:t>
            </w:r>
          </w:p>
        </w:tc>
        <w:tc>
          <w:tcPr>
            <w:tcW w:w="265"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3</w:t>
            </w:r>
          </w:p>
        </w:tc>
        <w:tc>
          <w:tcPr>
            <w:tcW w:w="41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7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否</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260"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2</w:t>
            </w:r>
          </w:p>
        </w:tc>
        <w:tc>
          <w:tcPr>
            <w:tcW w:w="617"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刚体转动惯量实验仪（塔伦式）</w:t>
            </w:r>
          </w:p>
        </w:tc>
        <w:tc>
          <w:tcPr>
            <w:tcW w:w="694"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1024" w:type="pct"/>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1、铸铁底座，表面灰色仪器漆处理，d：50mm、D：140mm、支臂234x150mm、ADC三组水平调节；</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 xml:space="preserve">2、5层绕线塔轮.采用Ly12铝材，表面进口砂黑氧化处理；半径分别为：10，15，20，25，30㎜。 </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3、摆杆：材质：不锈钢，φ8x300mm；</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4、配重锤φ25xφ8x26mm、材质：，铝(氧化白,)，铁(镀装饰铬)；</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5、滑轮组：φ40mm，铸铁底座：φ120x80mm；表面灰色仪器漆处理，独立滑轮支撑装置，滑轮组可任意移动位置。</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6、砝码：质量：5g，数量:10个；</w:t>
            </w:r>
          </w:p>
        </w:tc>
        <w:tc>
          <w:tcPr>
            <w:tcW w:w="329"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台</w:t>
            </w:r>
          </w:p>
        </w:tc>
        <w:tc>
          <w:tcPr>
            <w:tcW w:w="265"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3</w:t>
            </w:r>
          </w:p>
        </w:tc>
        <w:tc>
          <w:tcPr>
            <w:tcW w:w="41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7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否</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260"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3</w:t>
            </w:r>
          </w:p>
        </w:tc>
        <w:tc>
          <w:tcPr>
            <w:tcW w:w="617"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表面张力测定仪(焦利氏秤)</w:t>
            </w:r>
          </w:p>
        </w:tc>
        <w:tc>
          <w:tcPr>
            <w:tcW w:w="694"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1024" w:type="pct"/>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1、主体（焦利秤）1套，主立杆及升降支撑装置材质均采用航空铝喷砂氧化，测量尺采用金属刻蚀技术，长寿命设计；</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2、新式蜗轮蜗杆传动升降机构：测量升降范围：0-500mm；</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3、精密测微装置：精度值0.01，内置水平仪，通过底脚调节其水平；</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4、特制平稳三角调节底座，表面漆灰色，尺寸：≥φ320mm，重量：≤4.6kg；</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5、附件盒1个。（附件盒含：3种弹簧、有机玻璃指标筒1个、反光镜吊钩1个、托盘1个、片码：7*0.5g、π丝1个）。</w:t>
            </w:r>
          </w:p>
        </w:tc>
        <w:tc>
          <w:tcPr>
            <w:tcW w:w="329"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台</w:t>
            </w:r>
          </w:p>
        </w:tc>
        <w:tc>
          <w:tcPr>
            <w:tcW w:w="265"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3</w:t>
            </w:r>
          </w:p>
        </w:tc>
        <w:tc>
          <w:tcPr>
            <w:tcW w:w="41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7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否</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260"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4</w:t>
            </w:r>
          </w:p>
        </w:tc>
        <w:tc>
          <w:tcPr>
            <w:tcW w:w="617"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教学用多功能电桥</w:t>
            </w:r>
          </w:p>
        </w:tc>
        <w:tc>
          <w:tcPr>
            <w:tcW w:w="694"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1024" w:type="pct"/>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1、量程方式：自动、保持</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2、触发方式：内部、手动、自动、外部、总线</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3、校准功能：开路/短路,全频清零、点频清零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4、等效电路：串联、并联</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5、比较器：十档分选，BIN0～BIN9、NG、AUX</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PASS、HI、LOW(PASS/FAILLED显示)</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6、接口：RS232C、UsbHost、USB Device、Handler、GPIB（选件）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7、温度湿度：0℃～40℃，相对湿度≤75%</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8、电源要求：100～120 Vac或198～242 Vac，46～64 Hz，功率大于50 VA</w:t>
            </w:r>
          </w:p>
        </w:tc>
        <w:tc>
          <w:tcPr>
            <w:tcW w:w="329" w:type="pct"/>
            <w:tcBorders>
              <w:top w:val="nil"/>
              <w:left w:val="nil"/>
              <w:bottom w:val="single" w:color="auto" w:sz="4" w:space="0"/>
              <w:right w:val="single" w:color="auto" w:sz="4" w:space="0"/>
            </w:tcBorders>
            <w:vAlign w:val="center"/>
          </w:tcPr>
          <w:p>
            <w:pPr>
              <w:jc w:val="center"/>
              <w:rPr>
                <w:rFonts w:hint="default"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台</w:t>
            </w:r>
          </w:p>
        </w:tc>
        <w:tc>
          <w:tcPr>
            <w:tcW w:w="265" w:type="pct"/>
            <w:tcBorders>
              <w:top w:val="nil"/>
              <w:left w:val="nil"/>
              <w:bottom w:val="single" w:color="auto" w:sz="4" w:space="0"/>
              <w:right w:val="single" w:color="auto" w:sz="4" w:space="0"/>
            </w:tcBorders>
            <w:vAlign w:val="center"/>
          </w:tcPr>
          <w:p>
            <w:pPr>
              <w:jc w:val="center"/>
              <w:rPr>
                <w:rFonts w:hint="default"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3</w:t>
            </w:r>
          </w:p>
        </w:tc>
        <w:tc>
          <w:tcPr>
            <w:tcW w:w="41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7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否</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260"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5</w:t>
            </w:r>
          </w:p>
        </w:tc>
        <w:tc>
          <w:tcPr>
            <w:tcW w:w="6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二踪示波器</w:t>
            </w:r>
          </w:p>
        </w:tc>
        <w:tc>
          <w:tcPr>
            <w:tcW w:w="694"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1024" w:type="pct"/>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1、用电电源 AC：220V±10%</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2、带宽：DC～20MHz(-3db)；</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3、Y轴偏转系数：1mV/div-5V/div，1-2-5进制分12档，误差±5%（1mV-2mV±8%）；</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4、上升时间：5mV-5V/div 约17.5ns、1mV-2mV/div 约35ns；</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5、最高安全输入电压：400V(DC+ACpeak)≤1KHz；</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6、水平显示方式：A、A加亮，B、B触发；</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7、扫描线性误差：×1：±8%，扩展×10：±15%；</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8、触发源：CH1、CH2、电源、外接；</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9、触发方式：自动、常态；</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10、电平锁定或交替触发：50Hz-20MHz 2div 外0.25V；</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11、阈值：TTL电平（负电平加亮）；</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12、波形：方波；</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13、幅度：2Vp-p±2%；</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14、频率：1KHz±2%；</w:t>
            </w:r>
          </w:p>
        </w:tc>
        <w:tc>
          <w:tcPr>
            <w:tcW w:w="329"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台</w:t>
            </w:r>
          </w:p>
        </w:tc>
        <w:tc>
          <w:tcPr>
            <w:tcW w:w="265"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3</w:t>
            </w:r>
          </w:p>
        </w:tc>
        <w:tc>
          <w:tcPr>
            <w:tcW w:w="41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7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否</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260"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6</w:t>
            </w:r>
          </w:p>
        </w:tc>
        <w:tc>
          <w:tcPr>
            <w:tcW w:w="617"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声速测量仪</w:t>
            </w:r>
          </w:p>
        </w:tc>
        <w:tc>
          <w:tcPr>
            <w:tcW w:w="694"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1024" w:type="pct"/>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1、测量范围:0-150㎜，最小读数:0.01㎜；</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2、精密丝杆传动范围:0-150㎜；</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3、超声换能器谐振频率:35-45KHz；</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4、谐振点阻抗:800-1000Ω；</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5、测量介质:空气；用户自配信号发生器、示波器。</w:t>
            </w:r>
          </w:p>
        </w:tc>
        <w:tc>
          <w:tcPr>
            <w:tcW w:w="329"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台</w:t>
            </w:r>
          </w:p>
        </w:tc>
        <w:tc>
          <w:tcPr>
            <w:tcW w:w="265"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3</w:t>
            </w:r>
          </w:p>
        </w:tc>
        <w:tc>
          <w:tcPr>
            <w:tcW w:w="41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7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否</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260"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7</w:t>
            </w:r>
          </w:p>
        </w:tc>
        <w:tc>
          <w:tcPr>
            <w:tcW w:w="617"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电表改装与校准实验仪</w:t>
            </w:r>
          </w:p>
        </w:tc>
        <w:tc>
          <w:tcPr>
            <w:tcW w:w="694"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1024" w:type="pct"/>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1、指针式被改装表：量程100uA，精度1.5级；</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2、标准电流表：四位半数字显示，200uA、2mA、20mA三个量程，由按钮开关转换；</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3、标准电压表：四位半数字显示，0-2V、0-20V两个量程；</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4、直流稳压源：输出范围0-2V、0-20V两个量程，连续可调，指针表头指示；</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5、六盘电阻箱：调节范围0-111111.0Ω，精度0.2级，分辨率0.1Ω</w:t>
            </w:r>
          </w:p>
        </w:tc>
        <w:tc>
          <w:tcPr>
            <w:tcW w:w="329"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台</w:t>
            </w:r>
          </w:p>
        </w:tc>
        <w:tc>
          <w:tcPr>
            <w:tcW w:w="265"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3</w:t>
            </w:r>
          </w:p>
        </w:tc>
        <w:tc>
          <w:tcPr>
            <w:tcW w:w="41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7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否</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260"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8</w:t>
            </w:r>
          </w:p>
        </w:tc>
        <w:tc>
          <w:tcPr>
            <w:tcW w:w="617" w:type="pct"/>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霍尔效应与螺线管磁场测定仪</w:t>
            </w:r>
          </w:p>
        </w:tc>
        <w:tc>
          <w:tcPr>
            <w:tcW w:w="694"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1024" w:type="pct"/>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lang w:val="en-US" w:eastAsia="zh-CN" w:bidi="ar-SA"/>
              </w:rPr>
            </w:pPr>
            <w:r>
              <w:rPr>
                <w:rFonts w:hint="eastAsia" w:ascii="仿宋" w:hAnsi="仿宋" w:eastAsia="仿宋" w:cs="仿宋"/>
                <w:i w:val="0"/>
                <w:iCs w:val="0"/>
                <w:color w:val="auto"/>
                <w:kern w:val="0"/>
                <w:sz w:val="21"/>
                <w:szCs w:val="21"/>
                <w:u w:val="none"/>
                <w:lang w:val="en-US" w:eastAsia="zh-CN" w:bidi="ar"/>
              </w:rPr>
              <w:t>一、整体要求：</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要求仪器把磁阻元件与霍尔元件组合在一起，用霍尔效应测定电磁铁气隙中的磁场分布，测定磁化曲线；通过磁阻效应，了解磁场强度变化对磁阻变化具有线性和非线性两种阶段性的函数关系，通过实验可以确立一次和二次函数方程。通过示波器观察了解磁组元件的倍频效应。可同时掌握二种重要磁敏元件的实验应用。</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二、主要技术参数要求：</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1、电磁铁铁芯截面：40*20mm，气隙宽度：4.5mm。</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2、电磁铁气隙中心位置磁感应强度当 IM=0~1000mA 时，中心最大磁感应强度达到：Bmax≈500mT。</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3、霍尔元件：GaAs，转换系数：40mV（mA·T）。</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4、磁阻元件：InSb，具有线性和非线性完全不同的二种函数关系。</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5、励磁电流：恒流源：IM=0～1000mA 连续可调。</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6、恒流源：Is=0～5mA，连续可调。</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7、电磁铁气隙中心的磁场可大于 500mT。</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8、霍尔元件、磁阻元件的工作状态用继电器切换。</w:t>
            </w:r>
          </w:p>
        </w:tc>
        <w:tc>
          <w:tcPr>
            <w:tcW w:w="329"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台</w:t>
            </w:r>
          </w:p>
        </w:tc>
        <w:tc>
          <w:tcPr>
            <w:tcW w:w="265" w:type="pct"/>
            <w:tcBorders>
              <w:top w:val="nil"/>
              <w:left w:val="nil"/>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3</w:t>
            </w:r>
          </w:p>
        </w:tc>
        <w:tc>
          <w:tcPr>
            <w:tcW w:w="41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3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7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否</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9</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迈克尔逊干涉仪</w:t>
            </w:r>
          </w:p>
        </w:tc>
        <w:tc>
          <w:tcPr>
            <w:tcW w:w="0" w:type="auto"/>
            <w:tcBorders>
              <w:top w:val="single" w:color="auto" w:sz="4" w:space="0"/>
              <w:left w:val="single" w:color="auto" w:sz="4" w:space="0"/>
              <w:bottom w:val="single" w:color="auto" w:sz="4" w:space="0"/>
              <w:right w:val="single" w:color="auto" w:sz="4" w:space="0"/>
            </w:tcBorders>
          </w:tcPr>
          <w:p>
            <w:pPr>
              <w:rPr>
                <w:rFonts w:ascii="仿宋" w:hAnsi="仿宋" w:eastAsia="仿宋" w:cs="Tahoma"/>
                <w:color w:val="auto"/>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lang w:val="en-US" w:eastAsia="zh-CN" w:bidi="ar-SA"/>
              </w:rPr>
            </w:pPr>
            <w:r>
              <w:rPr>
                <w:rFonts w:hint="eastAsia" w:ascii="仿宋" w:hAnsi="仿宋" w:eastAsia="仿宋" w:cs="仿宋"/>
                <w:i w:val="0"/>
                <w:iCs w:val="0"/>
                <w:color w:val="auto"/>
                <w:kern w:val="0"/>
                <w:sz w:val="21"/>
                <w:szCs w:val="21"/>
                <w:u w:val="none"/>
                <w:lang w:val="en-US" w:eastAsia="zh-CN" w:bidi="ar"/>
              </w:rPr>
              <w:t>一、实验内容：</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1、光的干涉现象；</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2、测定单色光波长，光源及滤光片相干长度。</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二、主要技术参数：</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1、动镜、定镜框采用铝质黑砂工艺，螺旋部分镶铜丝扣，新型二维调节架调节，调节旋钮M6X0.5mm铜质螺纹对应铜质座套，舒适灵活，耐磨损，用于演示和观察干涉现象；</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2、精密微调连续可调，动镜测量范围0-100mm；</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3、微动手轮分度值为0.0001mm；</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4、波长测量精度：当条纹计数为100时，测定单色光波长的相对误差＜2%；</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5、导轨直线性误差为±16″；</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6、分光板、补偿板的平面度为λ/20；</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7、移动镜、参考镜的平面度为λ/10，采用二维调节镜架。</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特制钠光灯源（大屏）：安全磁灯头座防破碎，升降式调节架，方形灯罩除上下升降外还可以90度翻转照明，3视挂式毛玻璃窗口可拆卸；额定电压220V，工作电压15V，含钠光灯管1只；电感式，安全性能好。机箱壳双侧45°排比散热孔距ø3*15*18，表面砂黑工艺无噪音，稳定性好；无需保险丝，自带短路保护装置。</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9、可编程摄像头及连接件支持配套定制，焦距、亮度、对比度参数优化匹配定制；可编程摄像头感光元件尺寸：1/3′，感光器件数量不低于50万，转换模拟量≥800线，BNC输出，工作电压12V，配电源适配器，监视器不低于12吋：分辨率≥1024×768，可兼容720P，长寿命设计，可7×24H正常使用超过20kH自身不出现故障，工作电压12V，配电源适配器.提供摄像头系统功能截图。</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台</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3</w:t>
            </w:r>
          </w:p>
        </w:tc>
        <w:tc>
          <w:tcPr>
            <w:tcW w:w="0" w:type="auto"/>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0" w:type="auto"/>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0" w:type="auto"/>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r>
              <w:rPr>
                <w:rFonts w:hint="eastAsia" w:ascii="仿宋" w:hAnsi="仿宋" w:eastAsia="仿宋" w:cs="Tahoma"/>
                <w:color w:val="auto"/>
                <w:sz w:val="20"/>
                <w:szCs w:val="20"/>
              </w:rPr>
              <w:t>否</w:t>
            </w:r>
          </w:p>
        </w:tc>
        <w:tc>
          <w:tcPr>
            <w:tcW w:w="0" w:type="auto"/>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光电效应实验仪</w:t>
            </w:r>
          </w:p>
        </w:tc>
        <w:tc>
          <w:tcPr>
            <w:tcW w:w="0" w:type="auto"/>
            <w:tcBorders>
              <w:top w:val="single" w:color="auto" w:sz="4" w:space="0"/>
              <w:left w:val="single" w:color="auto" w:sz="4" w:space="0"/>
              <w:bottom w:val="single" w:color="auto" w:sz="4" w:space="0"/>
              <w:right w:val="single" w:color="auto" w:sz="4" w:space="0"/>
            </w:tcBorders>
          </w:tcPr>
          <w:p>
            <w:pPr>
              <w:rPr>
                <w:rFonts w:ascii="仿宋" w:hAnsi="仿宋" w:eastAsia="仿宋" w:cs="Tahoma"/>
                <w:color w:val="auto"/>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1、光电管：光谱响应范围：400～600nm，阴极灵敏度：106uA/Lm；</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2、微电流量程：0-20 uA；</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3、光电管工作电压：正向:0V—+30V连续可调;反向:0—-30V；</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4、光源灯：进口高亮长寿命LED灯(电流尽量不要超过500mA)；</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5、光源工作电流：0-1000mA连续可调，恒流输出。</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台</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3</w:t>
            </w:r>
          </w:p>
        </w:tc>
        <w:tc>
          <w:tcPr>
            <w:tcW w:w="0" w:type="auto"/>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0" w:type="auto"/>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0" w:type="auto"/>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r>
              <w:rPr>
                <w:rFonts w:hint="eastAsia" w:ascii="仿宋" w:hAnsi="仿宋" w:eastAsia="仿宋" w:cs="Tahoma"/>
                <w:color w:val="auto"/>
                <w:sz w:val="20"/>
                <w:szCs w:val="20"/>
              </w:rPr>
              <w:t>否</w:t>
            </w:r>
          </w:p>
        </w:tc>
        <w:tc>
          <w:tcPr>
            <w:tcW w:w="0" w:type="auto"/>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0" w:type="auto"/>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lang w:val="en-US" w:eastAsia="zh-CN" w:bidi="ar-SA"/>
              </w:rPr>
            </w:pPr>
            <w:r>
              <w:rPr>
                <w:rStyle w:val="60"/>
                <w:rFonts w:hint="eastAsia" w:ascii="仿宋" w:hAnsi="仿宋" w:eastAsia="仿宋" w:cs="仿宋"/>
                <w:color w:val="auto"/>
                <w:sz w:val="21"/>
                <w:szCs w:val="21"/>
                <w:lang w:val="en-US" w:eastAsia="zh-CN" w:bidi="ar"/>
              </w:rPr>
              <w:t>分光计</w:t>
            </w:r>
            <w:r>
              <w:rPr>
                <w:rStyle w:val="61"/>
                <w:rFonts w:hint="eastAsia" w:ascii="仿宋" w:hAnsi="仿宋" w:eastAsia="仿宋" w:cs="仿宋"/>
                <w:color w:val="auto"/>
                <w:sz w:val="21"/>
                <w:szCs w:val="21"/>
                <w:lang w:val="en-US" w:eastAsia="zh-CN" w:bidi="ar"/>
              </w:rPr>
              <w:t xml:space="preserve">                                                                                                                                                                                                                                                                                                                                                                                                                                                                                                                                                                                                                                                                                                                                                                  </w:t>
            </w:r>
          </w:p>
        </w:tc>
        <w:tc>
          <w:tcPr>
            <w:tcW w:w="0" w:type="auto"/>
            <w:tcBorders>
              <w:top w:val="single" w:color="auto" w:sz="4" w:space="0"/>
              <w:left w:val="single" w:color="auto" w:sz="4" w:space="0"/>
              <w:bottom w:val="single" w:color="auto" w:sz="4" w:space="0"/>
              <w:right w:val="single" w:color="auto" w:sz="4" w:space="0"/>
            </w:tcBorders>
          </w:tcPr>
          <w:p>
            <w:pPr>
              <w:rPr>
                <w:rFonts w:ascii="仿宋" w:hAnsi="仿宋" w:eastAsia="仿宋" w:cs="Tahoma"/>
                <w:color w:val="auto"/>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仿宋" w:hAnsi="仿宋" w:eastAsia="仿宋" w:cs="仿宋"/>
                <w:i w:val="0"/>
                <w:iCs w:val="0"/>
                <w:color w:val="auto"/>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1、仪器测角精度1′；</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2、光学参数：平行光管、望远镜系统物镜：焦距168㎜ 、通光口径φ22㎜、试场3°22′、望远镜系统目镜焦距24.3mm；</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3、平行光管、望远镜物镜间的最大距离：120mm；</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4、狭缝宽度调节范围：0-2㎜；</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5、目镜视度调节范围：≥±5屈光度；</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6、载物台：直径φ70mm、旋转角度360°、升降范围20mm；</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7、刻度盘规格：范围0-360°、格值0.5°、游标读数示值1′；</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8、照明采用长寿命高亮度绿色发光二级管；</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9、等边三棱镜：外型尺寸40×40×30㎜，精度：60°±1′，两面抛光；                             10、变压器电源3V；</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11、手持放大镜：有效面积ø50mm，放大倍率10倍；</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12、光栅300L/mm ，尺寸：60×42×1.5㎜；</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13、稳定性光栅座ø52*42*10*12mm防止光栅片破损；</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14、平行平板Ф30㎜，半反半透，带座；</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15、外形尺寸：518*251*250mm。       16、GP20Hg型汞光灯源：安全磁灯头座防破碎，升降式调节架，方形灯罩除上下升降外还可以90度翻转照明，3视挂式毛玻璃窗口可拆卸；额定电压220V，工作电压15V，含汞光灯管1只；电感式，安全性能好。机箱壳双侧45°排比散热孔距ø3*15*18，表面砂黑工艺无噪音，稳定性好；无需保险丝，自带短路保护装置。</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台</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rPr>
              <w:t>3</w:t>
            </w:r>
          </w:p>
        </w:tc>
        <w:tc>
          <w:tcPr>
            <w:tcW w:w="0" w:type="auto"/>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0" w:type="auto"/>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0" w:type="auto"/>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r>
              <w:rPr>
                <w:rFonts w:hint="eastAsia" w:ascii="仿宋" w:hAnsi="仿宋" w:eastAsia="仿宋" w:cs="Tahoma"/>
                <w:color w:val="auto"/>
                <w:sz w:val="20"/>
                <w:szCs w:val="20"/>
              </w:rPr>
              <w:t>否</w:t>
            </w:r>
          </w:p>
        </w:tc>
        <w:tc>
          <w:tcPr>
            <w:tcW w:w="0" w:type="auto"/>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5000" w:type="pct"/>
            <w:gridSpan w:val="10"/>
            <w:tcBorders>
              <w:top w:val="single" w:color="auto" w:sz="4" w:space="0"/>
              <w:left w:val="single" w:color="auto" w:sz="4" w:space="0"/>
              <w:bottom w:val="single" w:color="auto" w:sz="4" w:space="0"/>
              <w:right w:val="single" w:color="auto" w:sz="4" w:space="0"/>
            </w:tcBorders>
          </w:tcPr>
          <w:p>
            <w:pPr>
              <w:jc w:val="both"/>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合计金额：                      大写：</w:t>
            </w:r>
          </w:p>
        </w:tc>
      </w:tr>
    </w:tbl>
    <w:p>
      <w:pPr>
        <w:spacing w:line="400" w:lineRule="exact"/>
        <w:rPr>
          <w:rFonts w:ascii="仿宋" w:hAnsi="仿宋" w:eastAsia="仿宋"/>
          <w:color w:val="auto"/>
          <w:sz w:val="24"/>
          <w:szCs w:val="24"/>
        </w:rPr>
      </w:pPr>
      <w:r>
        <w:rPr>
          <w:rFonts w:hint="eastAsia" w:ascii="仿宋" w:hAnsi="仿宋" w:eastAsia="仿宋"/>
          <w:color w:val="auto"/>
          <w:sz w:val="24"/>
          <w:szCs w:val="24"/>
        </w:rPr>
        <w:t>注：</w:t>
      </w:r>
    </w:p>
    <w:p>
      <w:pPr>
        <w:numPr>
          <w:ilvl w:val="0"/>
          <w:numId w:val="6"/>
        </w:numPr>
        <w:spacing w:after="0" w:line="440" w:lineRule="exact"/>
        <w:rPr>
          <w:rFonts w:ascii="仿宋" w:hAnsi="仿宋" w:eastAsia="仿宋"/>
          <w:bCs/>
          <w:color w:val="auto"/>
          <w:sz w:val="24"/>
          <w:szCs w:val="24"/>
        </w:rPr>
      </w:pPr>
      <w:r>
        <w:rPr>
          <w:rFonts w:hint="eastAsia" w:ascii="仿宋" w:hAnsi="仿宋" w:eastAsia="仿宋"/>
          <w:bCs/>
          <w:color w:val="auto"/>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6"/>
        </w:numPr>
        <w:spacing w:after="0" w:line="440" w:lineRule="exact"/>
        <w:rPr>
          <w:rFonts w:ascii="仿宋" w:hAnsi="仿宋" w:eastAsia="仿宋"/>
          <w:bCs/>
          <w:color w:val="auto"/>
          <w:sz w:val="24"/>
          <w:szCs w:val="24"/>
        </w:rPr>
      </w:pPr>
      <w:r>
        <w:rPr>
          <w:rFonts w:hint="eastAsia" w:ascii="仿宋" w:hAnsi="仿宋" w:eastAsia="仿宋"/>
          <w:bCs/>
          <w:color w:val="auto"/>
          <w:sz w:val="24"/>
          <w:szCs w:val="24"/>
        </w:rPr>
        <w:t>参与人所投商品需要提供品牌、规格型号等真实详细信息，禁止复制采购人所提供的参考参数。</w:t>
      </w:r>
    </w:p>
    <w:p>
      <w:pPr>
        <w:numPr>
          <w:ilvl w:val="0"/>
          <w:numId w:val="6"/>
        </w:numPr>
        <w:spacing w:after="0" w:line="440" w:lineRule="exact"/>
        <w:rPr>
          <w:rFonts w:ascii="仿宋" w:hAnsi="仿宋" w:eastAsia="仿宋"/>
          <w:bCs/>
          <w:color w:val="auto"/>
          <w:sz w:val="24"/>
          <w:szCs w:val="24"/>
        </w:rPr>
      </w:pPr>
      <w:r>
        <w:rPr>
          <w:rFonts w:hint="eastAsia" w:ascii="仿宋" w:hAnsi="仿宋" w:eastAsia="仿宋"/>
          <w:bCs/>
          <w:color w:val="auto"/>
          <w:sz w:val="24"/>
          <w:szCs w:val="24"/>
        </w:rPr>
        <w:t>参与人所投商品报价应包含税费、运输费、搬运费、整体实施、</w:t>
      </w:r>
      <w:r>
        <w:rPr>
          <w:rFonts w:hint="eastAsia" w:ascii="仿宋" w:hAnsi="仿宋" w:eastAsia="仿宋"/>
          <w:bCs/>
          <w:color w:val="auto"/>
          <w:sz w:val="24"/>
          <w:szCs w:val="24"/>
        </w:rPr>
        <w:t>设计方案或实施方案</w:t>
      </w:r>
      <w:r>
        <w:rPr>
          <w:rFonts w:hint="eastAsia" w:ascii="仿宋" w:hAnsi="仿宋" w:eastAsia="仿宋"/>
          <w:bCs/>
          <w:color w:val="auto"/>
          <w:sz w:val="24"/>
          <w:szCs w:val="24"/>
        </w:rPr>
        <w:t>、安装调试费、售后服务等一切费用。</w:t>
      </w:r>
    </w:p>
    <w:p>
      <w:pPr>
        <w:spacing w:line="500" w:lineRule="exact"/>
        <w:jc w:val="left"/>
        <w:rPr>
          <w:rFonts w:ascii="仿宋" w:hAnsi="仿宋" w:eastAsia="仿宋"/>
          <w:b/>
          <w:color w:val="auto"/>
          <w:sz w:val="36"/>
          <w:szCs w:val="36"/>
        </w:rPr>
      </w:pPr>
    </w:p>
    <w:p>
      <w:pPr>
        <w:rPr>
          <w:rFonts w:ascii="仿宋" w:hAnsi="仿宋" w:eastAsia="仿宋"/>
          <w:b/>
          <w:color w:val="auto"/>
          <w:sz w:val="36"/>
          <w:szCs w:val="36"/>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r>
        <w:rPr>
          <w:rFonts w:ascii="仿宋" w:hAnsi="仿宋" w:eastAsia="仿宋"/>
          <w:b/>
          <w:color w:val="auto"/>
          <w:sz w:val="36"/>
          <w:szCs w:val="36"/>
        </w:rPr>
        <w:br w:type="page"/>
      </w:r>
    </w:p>
    <w:p>
      <w:pPr>
        <w:rPr>
          <w:rFonts w:ascii="仿宋" w:hAnsi="仿宋" w:eastAsia="仿宋"/>
          <w:b/>
          <w:color w:val="auto"/>
          <w:sz w:val="36"/>
          <w:szCs w:val="36"/>
        </w:rPr>
      </w:pPr>
    </w:p>
    <w:p>
      <w:pPr>
        <w:spacing w:line="1000" w:lineRule="exact"/>
        <w:jc w:val="center"/>
        <w:rPr>
          <w:rFonts w:ascii="仿宋" w:hAnsi="仿宋" w:eastAsia="仿宋"/>
          <w:b/>
          <w:color w:val="auto"/>
          <w:sz w:val="72"/>
          <w:szCs w:val="72"/>
        </w:rPr>
      </w:pPr>
    </w:p>
    <w:p>
      <w:pPr>
        <w:spacing w:line="1000" w:lineRule="exact"/>
        <w:jc w:val="center"/>
        <w:rPr>
          <w:rFonts w:hint="eastAsia" w:ascii="仿宋" w:hAnsi="仿宋" w:eastAsia="仿宋"/>
          <w:b/>
          <w:color w:val="auto"/>
          <w:sz w:val="72"/>
          <w:szCs w:val="72"/>
          <w:lang w:eastAsia="zh-CN"/>
        </w:rPr>
      </w:pPr>
      <w:r>
        <w:rPr>
          <w:rFonts w:hint="eastAsia" w:ascii="仿宋" w:hAnsi="仿宋" w:eastAsia="仿宋"/>
          <w:b/>
          <w:color w:val="auto"/>
          <w:sz w:val="72"/>
          <w:szCs w:val="72"/>
          <w:lang w:val="en-US" w:eastAsia="zh-CN"/>
        </w:rPr>
        <w:t>烟台科技学院</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大学物理实验室</w:t>
      </w:r>
      <w:r>
        <w:rPr>
          <w:rFonts w:hint="eastAsia" w:ascii="仿宋" w:hAnsi="仿宋" w:eastAsia="仿宋"/>
          <w:b/>
          <w:color w:val="auto"/>
          <w:sz w:val="44"/>
          <w:szCs w:val="44"/>
        </w:rPr>
        <w:t>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w:t>
      </w:r>
      <w:r>
        <w:rPr>
          <w:rFonts w:hint="eastAsia" w:ascii="仿宋" w:hAnsi="仿宋" w:eastAsia="仿宋"/>
          <w:b/>
          <w:color w:val="auto"/>
          <w:sz w:val="36"/>
          <w:szCs w:val="36"/>
        </w:rPr>
        <w:t>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4"/>
          <w:szCs w:val="24"/>
        </w:rPr>
      </w:pPr>
      <w:bookmarkStart w:id="48" w:name="_Toc267060321"/>
      <w:bookmarkStart w:id="49" w:name="_Toc193160448"/>
      <w:bookmarkStart w:id="50" w:name="_Toc211917116"/>
      <w:bookmarkStart w:id="51" w:name="_Toc266870833"/>
      <w:bookmarkStart w:id="52" w:name="_Toc267060208"/>
      <w:bookmarkStart w:id="53" w:name="_Toc267059919"/>
      <w:bookmarkStart w:id="54" w:name="_Toc181436461"/>
      <w:bookmarkStart w:id="55" w:name="_Toc266870907"/>
      <w:bookmarkStart w:id="56" w:name="_Toc273178698"/>
      <w:bookmarkStart w:id="57" w:name="_Toc235438274"/>
      <w:bookmarkStart w:id="58" w:name="_Toc232302115"/>
      <w:bookmarkStart w:id="59" w:name="_Toc266868937"/>
      <w:bookmarkStart w:id="60" w:name="_Toc267059030"/>
      <w:bookmarkStart w:id="61" w:name="_Toc213755995"/>
      <w:bookmarkStart w:id="62" w:name="_Toc253066614"/>
      <w:bookmarkStart w:id="63" w:name="_Toc251613829"/>
      <w:bookmarkStart w:id="64" w:name="_Toc255975007"/>
      <w:bookmarkStart w:id="65" w:name="_Toc236021449"/>
      <w:bookmarkStart w:id="66" w:name="_Toc267060068"/>
      <w:bookmarkStart w:id="67" w:name="_Toc267059181"/>
      <w:bookmarkStart w:id="68" w:name="_Toc223146608"/>
      <w:bookmarkStart w:id="69" w:name="_Toc193165734"/>
      <w:bookmarkStart w:id="70" w:name="_Toc192663686"/>
      <w:bookmarkStart w:id="71" w:name="_Toc267059653"/>
      <w:bookmarkStart w:id="72" w:name="_Toc266870432"/>
      <w:bookmarkStart w:id="73" w:name="_Toc254790899"/>
      <w:bookmarkStart w:id="74" w:name="_Toc267059806"/>
      <w:bookmarkStart w:id="75" w:name="_Toc217891402"/>
      <w:bookmarkStart w:id="76" w:name="_Toc170798793"/>
      <w:bookmarkStart w:id="77" w:name="_Toc169332838"/>
      <w:bookmarkStart w:id="78" w:name="_Toc192996338"/>
      <w:bookmarkStart w:id="79" w:name="_Toc191803626"/>
      <w:bookmarkStart w:id="80" w:name="_Toc191783222"/>
      <w:bookmarkStart w:id="81" w:name="_Toc182805217"/>
      <w:bookmarkStart w:id="82" w:name="_Toc227058530"/>
      <w:bookmarkStart w:id="83" w:name="_Toc235438344"/>
      <w:bookmarkStart w:id="84" w:name="_Toc249325711"/>
      <w:bookmarkStart w:id="85" w:name="_Toc192996446"/>
      <w:bookmarkStart w:id="86" w:name="_Toc251586231"/>
      <w:bookmarkStart w:id="87" w:name="_Toc219800243"/>
      <w:bookmarkStart w:id="88" w:name="_Toc225669322"/>
      <w:bookmarkStart w:id="89" w:name="_Toc181436565"/>
      <w:bookmarkStart w:id="90" w:name="_Toc192663835"/>
      <w:bookmarkStart w:id="91" w:name="_Toc160880529"/>
      <w:bookmarkStart w:id="92" w:name="_Toc182372782"/>
      <w:bookmarkStart w:id="93" w:name="_Toc259520865"/>
      <w:bookmarkStart w:id="94" w:name="_Toc160880160"/>
      <w:bookmarkStart w:id="95" w:name="_Toc191802690"/>
      <w:bookmarkStart w:id="96" w:name="_Toc213756051"/>
      <w:bookmarkStart w:id="97" w:name="_Toc191789329"/>
      <w:bookmarkStart w:id="98" w:name="_Toc259692647"/>
      <w:bookmarkStart w:id="99" w:name="_Toc259692740"/>
      <w:bookmarkStart w:id="100" w:name="_Toc267059539"/>
      <w:bookmarkStart w:id="101" w:name="_Toc213208766"/>
      <w:bookmarkStart w:id="102" w:name="_Toc180302913"/>
      <w:bookmarkStart w:id="103" w:name="_Toc267060453"/>
      <w:bookmarkStart w:id="104" w:name="_Toc213755858"/>
      <w:bookmarkStart w:id="105" w:name="_Toc266868670"/>
      <w:bookmarkStart w:id="106" w:name="_Toc177985469"/>
      <w:bookmarkStart w:id="107" w:name="_Toc235437991"/>
      <w:bookmarkStart w:id="108" w:name="_Toc169332949"/>
      <w:bookmarkStart w:id="109" w:name="_Toc203355733"/>
      <w:bookmarkStart w:id="110" w:name="_Toc213755939"/>
      <w:bookmarkStart w:id="111" w:name="_Toc258401256"/>
      <w:bookmarkStart w:id="112" w:name="_Toc230071147"/>
      <w:bookmarkStart w:id="113" w:name="_Toc192664153"/>
      <w:r>
        <w:rPr>
          <w:rFonts w:hint="eastAsia" w:ascii="仿宋" w:hAnsi="仿宋" w:eastAsia="仿宋"/>
          <w:b/>
          <w:bCs/>
          <w:color w:val="auto"/>
          <w:sz w:val="24"/>
          <w:szCs w:val="24"/>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color w:val="auto"/>
          <w:sz w:val="24"/>
          <w:szCs w:val="24"/>
        </w:rPr>
        <w:t>询价响应函</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致：</w:t>
      </w:r>
      <w:r>
        <w:rPr>
          <w:rFonts w:hint="eastAsia" w:ascii="仿宋" w:hAnsi="仿宋" w:eastAsia="仿宋"/>
          <w:color w:val="auto"/>
          <w:sz w:val="24"/>
          <w:szCs w:val="24"/>
        </w:rPr>
        <w:t>X</w:t>
      </w:r>
      <w:r>
        <w:rPr>
          <w:rFonts w:ascii="仿宋" w:hAnsi="仿宋" w:eastAsia="仿宋"/>
          <w:color w:val="auto"/>
          <w:sz w:val="24"/>
          <w:szCs w:val="24"/>
        </w:rPr>
        <w:t>XX</w:t>
      </w:r>
      <w:r>
        <w:rPr>
          <w:rFonts w:hint="eastAsia" w:ascii="仿宋" w:hAnsi="仿宋" w:eastAsia="仿宋"/>
          <w:color w:val="auto"/>
          <w:sz w:val="24"/>
          <w:szCs w:val="24"/>
        </w:rPr>
        <w:t>学校</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根据贵学校编号为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项目名称为</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的公开询价邀请，本签字代表</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（全名、职务）正式授权并代表我方</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（参与人公司名称）提交下述文件。</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1</w:t>
      </w:r>
      <w:r>
        <w:rPr>
          <w:rFonts w:hint="eastAsia" w:ascii="仿宋" w:hAnsi="仿宋" w:eastAsia="仿宋"/>
          <w:color w:val="auto"/>
          <w:sz w:val="24"/>
          <w:szCs w:val="24"/>
        </w:rPr>
        <w:t>) 报价一览表</w:t>
      </w:r>
    </w:p>
    <w:p>
      <w:pPr>
        <w:spacing w:after="0" w:line="480" w:lineRule="exact"/>
        <w:ind w:firstLine="364" w:firstLineChars="152"/>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2</w:t>
      </w:r>
      <w:r>
        <w:rPr>
          <w:rFonts w:hint="eastAsia" w:ascii="仿宋" w:hAnsi="仿宋" w:eastAsia="仿宋"/>
          <w:color w:val="auto"/>
          <w:sz w:val="24"/>
          <w:szCs w:val="24"/>
        </w:rPr>
        <w:t>) 参与人资质证明</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据此函，签字代表宣布同意如下：</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1.所附详细报价表中规定的应提供和交付的货物及服务报价总价（国内现场交货价）为人民币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，即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（中文表述），交货期为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天</w:t>
      </w:r>
      <w:r>
        <w:rPr>
          <w:rFonts w:ascii="仿宋" w:hAnsi="仿宋" w:eastAsia="仿宋"/>
          <w:color w:val="auto"/>
          <w:sz w:val="24"/>
          <w:szCs w:val="24"/>
        </w:rPr>
        <w:t xml:space="preserve"> </w:t>
      </w:r>
      <w:r>
        <w:rPr>
          <w:rFonts w:hint="eastAsia" w:ascii="仿宋" w:hAnsi="仿宋" w:eastAsia="仿宋"/>
          <w:color w:val="auto"/>
          <w:sz w:val="24"/>
          <w:szCs w:val="24"/>
        </w:rPr>
        <w:t>。</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rPr>
      </w:pP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参与人（公司全称并加盖公章）：</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参与人授权代表签字： </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电 </w:t>
      </w:r>
      <w:r>
        <w:rPr>
          <w:rFonts w:ascii="仿宋" w:hAnsi="仿宋" w:eastAsia="仿宋"/>
          <w:color w:val="auto"/>
          <w:sz w:val="24"/>
          <w:szCs w:val="24"/>
        </w:rPr>
        <w:t xml:space="preserve"> </w:t>
      </w:r>
      <w:r>
        <w:rPr>
          <w:rFonts w:hint="eastAsia" w:ascii="仿宋" w:hAnsi="仿宋" w:eastAsia="仿宋"/>
          <w:color w:val="auto"/>
          <w:sz w:val="24"/>
          <w:szCs w:val="24"/>
        </w:rPr>
        <w:t xml:space="preserve">话：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b/>
          <w:bCs/>
          <w:color w:val="auto"/>
          <w:sz w:val="24"/>
          <w:szCs w:val="24"/>
        </w:rPr>
        <w:t>（手机号码）</w:t>
      </w:r>
    </w:p>
    <w:p>
      <w:pPr>
        <w:pStyle w:val="56"/>
        <w:spacing w:line="480" w:lineRule="exact"/>
        <w:ind w:firstLine="480" w:firstLineChars="200"/>
        <w:jc w:val="left"/>
        <w:outlineLvl w:val="9"/>
        <w:rPr>
          <w:rFonts w:ascii="仿宋" w:hAnsi="仿宋" w:eastAsia="仿宋"/>
          <w:color w:val="auto"/>
          <w:sz w:val="24"/>
          <w:szCs w:val="24"/>
        </w:rPr>
      </w:pPr>
      <w:r>
        <w:rPr>
          <w:rFonts w:hint="eastAsia" w:ascii="仿宋" w:hAnsi="仿宋" w:eastAsia="仿宋"/>
          <w:color w:val="auto"/>
          <w:sz w:val="24"/>
          <w:szCs w:val="24"/>
        </w:rPr>
        <w:t xml:space="preserve">日  期：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年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ascii="仿宋" w:hAnsi="仿宋" w:eastAsia="仿宋" w:cs="Times New Roman"/>
          <w:color w:val="auto"/>
          <w:kern w:val="2"/>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rPr>
      </w:pPr>
      <w:r>
        <w:rPr>
          <w:rFonts w:ascii="仿宋" w:hAnsi="仿宋" w:eastAsia="仿宋"/>
          <w:b/>
          <w:bCs/>
          <w:color w:val="auto"/>
          <w:sz w:val="24"/>
          <w:szCs w:val="24"/>
        </w:rPr>
        <w:t>2</w:t>
      </w:r>
      <w:r>
        <w:rPr>
          <w:rFonts w:hint="eastAsia" w:ascii="仿宋" w:hAnsi="仿宋" w:eastAsia="仿宋"/>
          <w:b/>
          <w:bCs/>
          <w:color w:val="auto"/>
          <w:sz w:val="24"/>
          <w:szCs w:val="24"/>
        </w:rPr>
        <w:t>、报价一览表</w:t>
      </w:r>
    </w:p>
    <w:p>
      <w:pPr>
        <w:spacing w:line="380" w:lineRule="exact"/>
        <w:ind w:left="147" w:leftChars="67"/>
        <w:rPr>
          <w:rFonts w:ascii="仿宋" w:hAnsi="仿宋" w:eastAsia="仿宋"/>
          <w:color w:val="auto"/>
          <w:sz w:val="24"/>
          <w:szCs w:val="24"/>
        </w:rPr>
      </w:pPr>
      <w:r>
        <w:rPr>
          <w:rFonts w:hint="eastAsia" w:ascii="仿宋" w:hAnsi="仿宋" w:eastAsia="仿宋"/>
          <w:color w:val="auto"/>
          <w:sz w:val="24"/>
          <w:szCs w:val="24"/>
        </w:rPr>
        <w:t>参与人：</w:t>
      </w:r>
      <w:r>
        <w:rPr>
          <w:rFonts w:hint="eastAsia" w:ascii="仿宋" w:hAnsi="仿宋" w:eastAsia="仿宋"/>
          <w:color w:val="auto"/>
          <w:sz w:val="24"/>
          <w:szCs w:val="24"/>
          <w:lang w:val="zh-CN"/>
        </w:rPr>
        <w:t>（公司全称并加盖公章）</w:t>
      </w:r>
      <w:r>
        <w:rPr>
          <w:rFonts w:hint="eastAsia" w:ascii="仿宋" w:hAnsi="仿宋" w:eastAsia="仿宋"/>
          <w:color w:val="auto"/>
          <w:sz w:val="24"/>
          <w:szCs w:val="24"/>
        </w:rPr>
        <w:t xml:space="preserve">                   项目编号：</w:t>
      </w:r>
    </w:p>
    <w:p>
      <w:pPr>
        <w:spacing w:line="380" w:lineRule="exact"/>
        <w:ind w:left="147" w:leftChars="67"/>
        <w:rPr>
          <w:rFonts w:ascii="仿宋" w:hAnsi="仿宋" w:eastAsia="仿宋"/>
          <w:color w:val="auto"/>
          <w:sz w:val="24"/>
          <w:szCs w:val="24"/>
        </w:rPr>
      </w:pPr>
      <w:r>
        <w:rPr>
          <w:rFonts w:hint="eastAsia" w:ascii="仿宋" w:hAnsi="仿宋" w:eastAsia="仿宋"/>
          <w:color w:val="auto"/>
          <w:sz w:val="24"/>
          <w:szCs w:val="24"/>
        </w:rPr>
        <w:t>货币单位：</w:t>
      </w:r>
    </w:p>
    <w:tbl>
      <w:tblPr>
        <w:tblStyle w:val="23"/>
        <w:tblW w:w="5134" w:type="pct"/>
        <w:tblInd w:w="0" w:type="dxa"/>
        <w:tblLayout w:type="autofit"/>
        <w:tblCellMar>
          <w:top w:w="0" w:type="dxa"/>
          <w:left w:w="108" w:type="dxa"/>
          <w:bottom w:w="0" w:type="dxa"/>
          <w:right w:w="108" w:type="dxa"/>
        </w:tblCellMar>
      </w:tblPr>
      <w:tblGrid>
        <w:gridCol w:w="672"/>
        <w:gridCol w:w="1111"/>
        <w:gridCol w:w="1447"/>
        <w:gridCol w:w="1645"/>
        <w:gridCol w:w="692"/>
        <w:gridCol w:w="568"/>
        <w:gridCol w:w="839"/>
        <w:gridCol w:w="910"/>
        <w:gridCol w:w="977"/>
        <w:gridCol w:w="968"/>
      </w:tblGrid>
      <w:tr>
        <w:tblPrEx>
          <w:tblCellMar>
            <w:top w:w="0" w:type="dxa"/>
            <w:left w:w="108" w:type="dxa"/>
            <w:bottom w:w="0" w:type="dxa"/>
            <w:right w:w="108" w:type="dxa"/>
          </w:tblCellMar>
        </w:tblPrEx>
        <w:trPr>
          <w:trHeight w:val="492" w:hRule="atLeast"/>
        </w:trPr>
        <w:tc>
          <w:tcPr>
            <w:tcW w:w="34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序号</w:t>
            </w:r>
          </w:p>
        </w:tc>
        <w:tc>
          <w:tcPr>
            <w:tcW w:w="565"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设备名称</w:t>
            </w:r>
          </w:p>
        </w:tc>
        <w:tc>
          <w:tcPr>
            <w:tcW w:w="73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规格型号</w:t>
            </w:r>
          </w:p>
        </w:tc>
        <w:tc>
          <w:tcPr>
            <w:tcW w:w="8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技术参数</w:t>
            </w:r>
          </w:p>
        </w:tc>
        <w:tc>
          <w:tcPr>
            <w:tcW w:w="352"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单位</w:t>
            </w:r>
          </w:p>
        </w:tc>
        <w:tc>
          <w:tcPr>
            <w:tcW w:w="28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数量</w:t>
            </w:r>
          </w:p>
        </w:tc>
        <w:tc>
          <w:tcPr>
            <w:tcW w:w="42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单价（元）</w:t>
            </w:r>
          </w:p>
        </w:tc>
        <w:tc>
          <w:tcPr>
            <w:tcW w:w="46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总价（元）</w:t>
            </w:r>
          </w:p>
        </w:tc>
        <w:tc>
          <w:tcPr>
            <w:tcW w:w="49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是否提供样品</w:t>
            </w:r>
          </w:p>
        </w:tc>
        <w:tc>
          <w:tcPr>
            <w:tcW w:w="49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rPr>
            </w:pPr>
            <w:r>
              <w:rPr>
                <w:rFonts w:hint="eastAsia" w:ascii="仿宋" w:hAnsi="仿宋" w:eastAsia="仿宋" w:cs="Tahoma"/>
                <w:b/>
                <w:bCs/>
                <w:color w:val="auto"/>
                <w:sz w:val="20"/>
                <w:szCs w:val="20"/>
              </w:rPr>
              <w:t>备注</w:t>
            </w:r>
          </w:p>
        </w:tc>
      </w:tr>
      <w:tr>
        <w:tblPrEx>
          <w:tblCellMar>
            <w:top w:w="0" w:type="dxa"/>
            <w:left w:w="108" w:type="dxa"/>
            <w:bottom w:w="0" w:type="dxa"/>
            <w:right w:w="108" w:type="dxa"/>
          </w:tblCellMar>
        </w:tblPrEx>
        <w:trPr>
          <w:trHeight w:val="794" w:hRule="atLeast"/>
        </w:trPr>
        <w:tc>
          <w:tcPr>
            <w:tcW w:w="342"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1</w:t>
            </w:r>
          </w:p>
        </w:tc>
        <w:tc>
          <w:tcPr>
            <w:tcW w:w="56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736"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837"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5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28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2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6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9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是/否</w:t>
            </w:r>
          </w:p>
        </w:tc>
        <w:tc>
          <w:tcPr>
            <w:tcW w:w="49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42"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2</w:t>
            </w:r>
          </w:p>
        </w:tc>
        <w:tc>
          <w:tcPr>
            <w:tcW w:w="56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736"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837"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5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28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2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6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9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是/否</w:t>
            </w:r>
          </w:p>
        </w:tc>
        <w:tc>
          <w:tcPr>
            <w:tcW w:w="49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42"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3</w:t>
            </w:r>
          </w:p>
        </w:tc>
        <w:tc>
          <w:tcPr>
            <w:tcW w:w="56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736"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837"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5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28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2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6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9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是/否</w:t>
            </w:r>
          </w:p>
        </w:tc>
        <w:tc>
          <w:tcPr>
            <w:tcW w:w="49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42"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4</w:t>
            </w:r>
          </w:p>
        </w:tc>
        <w:tc>
          <w:tcPr>
            <w:tcW w:w="56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736"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837"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5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28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2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6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9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是/否</w:t>
            </w:r>
          </w:p>
        </w:tc>
        <w:tc>
          <w:tcPr>
            <w:tcW w:w="49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42"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5</w:t>
            </w:r>
          </w:p>
        </w:tc>
        <w:tc>
          <w:tcPr>
            <w:tcW w:w="56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736"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837"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5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28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2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6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9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是/否</w:t>
            </w:r>
          </w:p>
        </w:tc>
        <w:tc>
          <w:tcPr>
            <w:tcW w:w="49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42"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6</w:t>
            </w:r>
          </w:p>
        </w:tc>
        <w:tc>
          <w:tcPr>
            <w:tcW w:w="56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736"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837"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5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28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2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6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9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是/否</w:t>
            </w:r>
          </w:p>
        </w:tc>
        <w:tc>
          <w:tcPr>
            <w:tcW w:w="49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42"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7</w:t>
            </w:r>
          </w:p>
        </w:tc>
        <w:tc>
          <w:tcPr>
            <w:tcW w:w="56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736"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837"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5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28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2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6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9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是/否</w:t>
            </w:r>
          </w:p>
        </w:tc>
        <w:tc>
          <w:tcPr>
            <w:tcW w:w="49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342"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8</w:t>
            </w:r>
          </w:p>
        </w:tc>
        <w:tc>
          <w:tcPr>
            <w:tcW w:w="56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rPr>
            </w:pPr>
          </w:p>
        </w:tc>
        <w:tc>
          <w:tcPr>
            <w:tcW w:w="736"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837"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rPr>
            </w:pPr>
          </w:p>
        </w:tc>
        <w:tc>
          <w:tcPr>
            <w:tcW w:w="352"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289"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2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6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49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是/否</w:t>
            </w:r>
          </w:p>
        </w:tc>
        <w:tc>
          <w:tcPr>
            <w:tcW w:w="49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bl>
    <w:p>
      <w:pPr>
        <w:spacing w:line="380" w:lineRule="exact"/>
        <w:ind w:left="147" w:leftChars="67"/>
        <w:rPr>
          <w:rFonts w:ascii="仿宋" w:hAnsi="仿宋" w:eastAsia="仿宋"/>
          <w:color w:val="auto"/>
          <w:sz w:val="24"/>
          <w:szCs w:val="24"/>
        </w:rPr>
      </w:pPr>
    </w:p>
    <w:p>
      <w:pPr>
        <w:spacing w:line="380" w:lineRule="exact"/>
        <w:ind w:left="147" w:leftChars="67"/>
        <w:rPr>
          <w:rFonts w:ascii="仿宋" w:hAnsi="仿宋" w:eastAsia="仿宋"/>
          <w:color w:val="auto"/>
          <w:sz w:val="24"/>
          <w:szCs w:val="24"/>
        </w:rPr>
      </w:pPr>
      <w:r>
        <w:rPr>
          <w:rFonts w:ascii="仿宋" w:hAnsi="仿宋" w:eastAsia="仿宋"/>
          <w:color w:val="auto"/>
          <w:sz w:val="24"/>
          <w:szCs w:val="24"/>
        </w:rPr>
        <w:t>注：1.如果按单价计算的结果与总价不一致,以单价为准修正总价。</w:t>
      </w:r>
    </w:p>
    <w:p>
      <w:pPr>
        <w:spacing w:line="380" w:lineRule="exact"/>
        <w:ind w:left="147" w:leftChars="67" w:firstLine="480" w:firstLineChars="200"/>
        <w:rPr>
          <w:rFonts w:ascii="仿宋" w:hAnsi="仿宋" w:eastAsia="仿宋"/>
          <w:color w:val="auto"/>
          <w:sz w:val="24"/>
          <w:szCs w:val="24"/>
        </w:rPr>
      </w:pPr>
      <w:r>
        <w:rPr>
          <w:rFonts w:ascii="仿宋" w:hAnsi="仿宋" w:eastAsia="仿宋"/>
          <w:color w:val="auto"/>
          <w:sz w:val="24"/>
          <w:szCs w:val="24"/>
        </w:rPr>
        <w:t>2.如果不提供详细参数和报价将视为没有实质性响应</w:t>
      </w:r>
      <w:r>
        <w:rPr>
          <w:rFonts w:hint="eastAsia" w:ascii="仿宋" w:hAnsi="仿宋" w:eastAsia="仿宋"/>
          <w:color w:val="auto"/>
          <w:sz w:val="24"/>
          <w:szCs w:val="24"/>
        </w:rPr>
        <w:t>公开询价</w:t>
      </w:r>
      <w:r>
        <w:rPr>
          <w:rFonts w:ascii="仿宋" w:hAnsi="仿宋" w:eastAsia="仿宋"/>
          <w:color w:val="auto"/>
          <w:sz w:val="24"/>
          <w:szCs w:val="24"/>
        </w:rPr>
        <w:t>文件。</w:t>
      </w:r>
    </w:p>
    <w:p>
      <w:pPr>
        <w:spacing w:after="0" w:line="300" w:lineRule="exact"/>
        <w:ind w:firstLine="480" w:firstLineChars="200"/>
        <w:rPr>
          <w:rFonts w:ascii="仿宋" w:hAnsi="仿宋" w:eastAsia="仿宋"/>
          <w:color w:val="auto"/>
          <w:sz w:val="24"/>
          <w:szCs w:val="24"/>
          <w:lang w:val="zh-CN"/>
        </w:rPr>
      </w:pPr>
    </w:p>
    <w:p>
      <w:pPr>
        <w:spacing w:line="380" w:lineRule="exact"/>
        <w:rPr>
          <w:rFonts w:ascii="仿宋" w:hAnsi="仿宋" w:eastAsia="仿宋"/>
          <w:color w:val="auto"/>
          <w:sz w:val="24"/>
          <w:szCs w:val="24"/>
          <w:lang w:val="zh-CN"/>
        </w:rPr>
      </w:pPr>
    </w:p>
    <w:p>
      <w:pPr>
        <w:spacing w:line="360" w:lineRule="auto"/>
        <w:ind w:right="960"/>
        <w:jc w:val="right"/>
        <w:rPr>
          <w:rFonts w:ascii="仿宋" w:hAnsi="仿宋" w:eastAsia="仿宋"/>
          <w:color w:val="auto"/>
          <w:sz w:val="24"/>
          <w:szCs w:val="24"/>
          <w:lang w:val="zh-CN"/>
        </w:rPr>
      </w:pPr>
    </w:p>
    <w:p>
      <w:pPr>
        <w:spacing w:line="360" w:lineRule="auto"/>
        <w:ind w:right="1440"/>
        <w:jc w:val="right"/>
        <w:rPr>
          <w:rFonts w:ascii="仿宋" w:hAnsi="仿宋" w:eastAsia="仿宋"/>
          <w:color w:val="auto"/>
          <w:sz w:val="24"/>
          <w:szCs w:val="24"/>
          <w:lang w:val="zh-CN"/>
        </w:rPr>
      </w:pPr>
      <w:r>
        <w:rPr>
          <w:rFonts w:hint="eastAsia" w:ascii="仿宋" w:hAnsi="仿宋" w:eastAsia="仿宋"/>
          <w:color w:val="auto"/>
          <w:sz w:val="24"/>
          <w:szCs w:val="24"/>
          <w:lang w:val="zh-CN"/>
        </w:rPr>
        <w:t>参与人授权代表</w:t>
      </w:r>
      <w:r>
        <w:rPr>
          <w:rFonts w:ascii="仿宋" w:hAnsi="仿宋" w:eastAsia="仿宋"/>
          <w:color w:val="auto"/>
          <w:sz w:val="24"/>
          <w:szCs w:val="24"/>
          <w:lang w:val="zh-CN"/>
        </w:rPr>
        <w:t>（签字</w:t>
      </w:r>
      <w:r>
        <w:rPr>
          <w:rFonts w:hint="eastAsia" w:ascii="仿宋" w:hAnsi="仿宋" w:eastAsia="仿宋"/>
          <w:color w:val="auto"/>
          <w:sz w:val="24"/>
          <w:szCs w:val="24"/>
          <w:lang w:val="zh-CN"/>
        </w:rPr>
        <w:t>或盖章</w:t>
      </w:r>
      <w:r>
        <w:rPr>
          <w:rFonts w:ascii="仿宋" w:hAnsi="仿宋" w:eastAsia="仿宋"/>
          <w:color w:val="auto"/>
          <w:sz w:val="24"/>
          <w:szCs w:val="24"/>
          <w:lang w:val="zh-CN"/>
        </w:rPr>
        <w:t>）：</w:t>
      </w:r>
    </w:p>
    <w:p>
      <w:pPr>
        <w:spacing w:line="360" w:lineRule="auto"/>
        <w:ind w:right="1406"/>
        <w:jc w:val="right"/>
        <w:rPr>
          <w:rFonts w:ascii="仿宋" w:hAnsi="仿宋" w:eastAsia="仿宋"/>
          <w:color w:val="auto"/>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olor w:val="auto"/>
          <w:sz w:val="24"/>
          <w:szCs w:val="24"/>
          <w:lang w:val="zh-CN"/>
        </w:rPr>
        <w:t xml:space="preserve">日 </w:t>
      </w:r>
      <w:r>
        <w:rPr>
          <w:rFonts w:ascii="仿宋" w:hAnsi="仿宋" w:eastAsia="仿宋"/>
          <w:color w:val="auto"/>
          <w:sz w:val="24"/>
          <w:szCs w:val="24"/>
          <w:lang w:val="zh-CN"/>
        </w:rPr>
        <w:t xml:space="preserve">        </w:t>
      </w:r>
      <w:r>
        <w:rPr>
          <w:rFonts w:hint="eastAsia" w:ascii="仿宋" w:hAnsi="仿宋" w:eastAsia="仿宋"/>
          <w:color w:val="auto"/>
          <w:sz w:val="24"/>
          <w:szCs w:val="24"/>
          <w:lang w:val="zh-CN"/>
        </w:rPr>
        <w:t>期：</w:t>
      </w:r>
      <w:bookmarkStart w:id="114" w:name="_Toc169332954"/>
      <w:bookmarkStart w:id="115" w:name="_Toc193165739"/>
      <w:bookmarkStart w:id="116" w:name="_Toc191802695"/>
      <w:bookmarkStart w:id="117" w:name="_Toc182805222"/>
      <w:bookmarkStart w:id="118" w:name="_Toc182372787"/>
      <w:bookmarkStart w:id="119" w:name="_Toc211917121"/>
      <w:bookmarkStart w:id="120" w:name="_Toc213755945"/>
      <w:bookmarkStart w:id="121" w:name="_Toc249325720"/>
      <w:bookmarkStart w:id="122" w:name="_Toc180302918"/>
      <w:bookmarkStart w:id="123" w:name="_Toc160880534"/>
      <w:bookmarkStart w:id="124" w:name="_Toc213755864"/>
      <w:bookmarkStart w:id="125" w:name="_Toc192663840"/>
      <w:bookmarkStart w:id="126" w:name="_Toc191789334"/>
      <w:bookmarkStart w:id="127" w:name="_Toc192996343"/>
      <w:bookmarkStart w:id="128" w:name="_Toc236021457"/>
      <w:bookmarkStart w:id="129" w:name="_Toc232302122"/>
      <w:bookmarkStart w:id="130" w:name="_Toc267059924"/>
      <w:bookmarkStart w:id="131" w:name="_Toc192996451"/>
      <w:bookmarkStart w:id="132" w:name="_Toc225669328"/>
      <w:bookmarkStart w:id="133" w:name="_Toc191803631"/>
      <w:bookmarkStart w:id="134" w:name="_Toc177985474"/>
      <w:bookmarkStart w:id="135" w:name="_Toc213756001"/>
      <w:bookmarkStart w:id="136" w:name="_Toc203355738"/>
      <w:bookmarkStart w:id="137" w:name="_Toc259692749"/>
      <w:bookmarkStart w:id="138" w:name="_Toc213756057"/>
      <w:bookmarkStart w:id="139" w:name="_Toc181436570"/>
      <w:bookmarkStart w:id="140" w:name="_Toc170798798"/>
      <w:bookmarkStart w:id="141" w:name="_Toc251613839"/>
      <w:bookmarkStart w:id="142" w:name="_Toc191783227"/>
      <w:bookmarkStart w:id="143" w:name="_Toc267060216"/>
      <w:bookmarkStart w:id="144" w:name="_Toc219800249"/>
      <w:bookmarkStart w:id="145" w:name="_Toc267060461"/>
      <w:bookmarkStart w:id="146" w:name="_Toc267059035"/>
      <w:bookmarkStart w:id="147" w:name="_Toc192664158"/>
      <w:bookmarkStart w:id="148" w:name="_Toc235438281"/>
      <w:bookmarkStart w:id="149" w:name="_Toc227058536"/>
      <w:bookmarkStart w:id="150" w:name="_Toc255975016"/>
      <w:bookmarkStart w:id="151" w:name="_Toc193160453"/>
      <w:bookmarkStart w:id="152" w:name="_Toc266868679"/>
      <w:bookmarkStart w:id="153" w:name="_Toc169332843"/>
      <w:bookmarkStart w:id="154" w:name="_Toc267059186"/>
      <w:bookmarkStart w:id="155" w:name="_Toc273178703"/>
      <w:bookmarkStart w:id="156" w:name="_Toc251586241"/>
      <w:bookmarkStart w:id="157" w:name="_Toc213208771"/>
      <w:bookmarkStart w:id="158" w:name="_Toc230071153"/>
      <w:bookmarkStart w:id="159" w:name="_Toc235438352"/>
      <w:bookmarkStart w:id="160" w:name="_Toc181436466"/>
      <w:bookmarkStart w:id="161" w:name="_Toc254790909"/>
      <w:bookmarkStart w:id="162" w:name="_Toc266870441"/>
      <w:bookmarkStart w:id="163" w:name="_Toc253066624"/>
      <w:bookmarkStart w:id="164" w:name="_Toc267060076"/>
      <w:bookmarkStart w:id="165" w:name="_Toc266868943"/>
      <w:bookmarkStart w:id="166" w:name="_Toc192663691"/>
      <w:bookmarkStart w:id="167" w:name="_Toc267059811"/>
      <w:bookmarkStart w:id="168" w:name="_Toc258401265"/>
      <w:bookmarkStart w:id="169" w:name="_Toc160880165"/>
      <w:bookmarkStart w:id="170" w:name="_Toc235437998"/>
      <w:bookmarkStart w:id="171" w:name="_Toc259692656"/>
      <w:bookmarkStart w:id="172" w:name="_Toc267059544"/>
      <w:bookmarkStart w:id="173" w:name="_Toc259520874"/>
      <w:bookmarkStart w:id="174" w:name="_Toc267059658"/>
      <w:bookmarkStart w:id="175" w:name="_Toc267060326"/>
      <w:bookmarkStart w:id="176" w:name="_Toc223146614"/>
      <w:bookmarkStart w:id="177" w:name="_Toc266870916"/>
      <w:bookmarkStart w:id="178" w:name="_Toc217891408"/>
      <w:bookmarkStart w:id="179" w:name="_Toc266870839"/>
    </w:p>
    <w:p>
      <w:pPr>
        <w:jc w:val="center"/>
        <w:outlineLvl w:val="1"/>
        <w:rPr>
          <w:rFonts w:ascii="仿宋" w:hAnsi="仿宋" w:eastAsia="仿宋"/>
          <w:b/>
          <w:bCs/>
          <w:color w:val="auto"/>
          <w:sz w:val="24"/>
          <w:szCs w:val="24"/>
        </w:rPr>
      </w:pPr>
      <w:r>
        <w:rPr>
          <w:rFonts w:ascii="仿宋" w:hAnsi="仿宋" w:eastAsia="仿宋"/>
          <w:b/>
          <w:bCs/>
          <w:color w:val="auto"/>
          <w:sz w:val="24"/>
          <w:szCs w:val="24"/>
        </w:rPr>
        <w:t>3</w:t>
      </w:r>
      <w:r>
        <w:rPr>
          <w:rFonts w:hint="eastAsia" w:ascii="仿宋" w:hAnsi="仿宋" w:eastAsia="仿宋"/>
          <w:b/>
          <w:bCs/>
          <w:color w:val="auto"/>
          <w:sz w:val="24"/>
          <w:szCs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color w:val="auto"/>
          <w:sz w:val="24"/>
          <w:szCs w:val="24"/>
        </w:rPr>
        <w:t>参与人资质材料</w:t>
      </w:r>
    </w:p>
    <w:p>
      <w:pPr>
        <w:pStyle w:val="39"/>
        <w:rPr>
          <w:color w:val="auto"/>
          <w:sz w:val="24"/>
          <w:szCs w:val="24"/>
        </w:rPr>
      </w:pPr>
    </w:p>
    <w:p>
      <w:pPr>
        <w:spacing w:after="0" w:line="500" w:lineRule="exact"/>
        <w:rPr>
          <w:rFonts w:ascii="仿宋" w:hAnsi="仿宋" w:eastAsia="仿宋"/>
          <w:color w:val="auto"/>
          <w:sz w:val="24"/>
          <w:szCs w:val="24"/>
        </w:rPr>
      </w:pPr>
      <w:r>
        <w:rPr>
          <w:rFonts w:hint="eastAsia" w:ascii="仿宋" w:hAnsi="仿宋" w:eastAsia="仿宋"/>
          <w:color w:val="auto"/>
          <w:sz w:val="24"/>
          <w:szCs w:val="24"/>
        </w:rPr>
        <w:t>参与人需要提供以下材料：</w:t>
      </w:r>
    </w:p>
    <w:p>
      <w:pPr>
        <w:pStyle w:val="54"/>
        <w:numPr>
          <w:ilvl w:val="0"/>
          <w:numId w:val="7"/>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营业执照复印件</w:t>
      </w:r>
    </w:p>
    <w:p>
      <w:pPr>
        <w:pStyle w:val="54"/>
        <w:numPr>
          <w:ilvl w:val="0"/>
          <w:numId w:val="7"/>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授权经销商或代理商证明材料复印件</w:t>
      </w:r>
    </w:p>
    <w:p>
      <w:pPr>
        <w:pStyle w:val="54"/>
        <w:numPr>
          <w:ilvl w:val="0"/>
          <w:numId w:val="7"/>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质保期和售后服务承诺书（参与人自行起草）</w:t>
      </w:r>
    </w:p>
    <w:p>
      <w:pPr>
        <w:spacing w:line="380" w:lineRule="exact"/>
        <w:ind w:firstLine="723" w:firstLineChars="300"/>
        <w:rPr>
          <w:rFonts w:ascii="仿宋" w:hAnsi="仿宋" w:eastAsia="仿宋"/>
          <w:b/>
          <w:bCs/>
          <w:color w:val="auto"/>
          <w:sz w:val="24"/>
          <w:szCs w:val="24"/>
        </w:rPr>
      </w:pPr>
      <w:r>
        <w:rPr>
          <w:rFonts w:hint="eastAsia" w:ascii="仿宋" w:hAnsi="仿宋" w:eastAsia="仿宋"/>
          <w:b/>
          <w:bCs/>
          <w:color w:val="auto"/>
          <w:sz w:val="24"/>
          <w:szCs w:val="24"/>
        </w:rPr>
        <w:t>以上材料复印件须加盖参与人公司公章，并与报价一览表一同密封</w:t>
      </w:r>
    </w:p>
    <w:p>
      <w:pPr>
        <w:spacing w:line="380" w:lineRule="exact"/>
        <w:rPr>
          <w:rFonts w:ascii="仿宋" w:hAnsi="仿宋" w:eastAsia="仿宋"/>
          <w:color w:val="auto"/>
          <w:sz w:val="24"/>
          <w:szCs w:val="24"/>
        </w:rPr>
      </w:pPr>
    </w:p>
    <w:p>
      <w:pPr>
        <w:spacing w:line="380" w:lineRule="exact"/>
        <w:rPr>
          <w:rFonts w:ascii="仿宋" w:hAnsi="仿宋" w:eastAsia="仿宋"/>
          <w:color w:val="auto"/>
          <w:sz w:val="24"/>
          <w:szCs w:val="24"/>
        </w:rPr>
      </w:pPr>
    </w:p>
    <w:p>
      <w:pPr>
        <w:spacing w:line="380" w:lineRule="exact"/>
        <w:rPr>
          <w:rFonts w:ascii="仿宋" w:hAnsi="仿宋" w:eastAsia="仿宋"/>
          <w:color w:val="auto"/>
          <w:sz w:val="24"/>
          <w:szCs w:val="24"/>
        </w:rPr>
      </w:pPr>
    </w:p>
    <w:p>
      <w:pPr>
        <w:spacing w:line="380" w:lineRule="exact"/>
        <w:rPr>
          <w:rFonts w:ascii="仿宋" w:hAnsi="仿宋" w:eastAsia="仿宋"/>
          <w:color w:val="auto"/>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7B0F09"/>
    <w:rsid w:val="0000490C"/>
    <w:rsid w:val="00013721"/>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07D2E"/>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27F8"/>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9123D7"/>
    <w:rsid w:val="00916532"/>
    <w:rsid w:val="00923C7E"/>
    <w:rsid w:val="00936704"/>
    <w:rsid w:val="0094170D"/>
    <w:rsid w:val="00942F72"/>
    <w:rsid w:val="00955004"/>
    <w:rsid w:val="009606BC"/>
    <w:rsid w:val="00967E57"/>
    <w:rsid w:val="00994E59"/>
    <w:rsid w:val="009B7DAD"/>
    <w:rsid w:val="009D6C32"/>
    <w:rsid w:val="009F0B36"/>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CB73CD"/>
    <w:rsid w:val="00D2102C"/>
    <w:rsid w:val="00D260D0"/>
    <w:rsid w:val="00D36D52"/>
    <w:rsid w:val="00D56DEA"/>
    <w:rsid w:val="00D60F0E"/>
    <w:rsid w:val="00E11567"/>
    <w:rsid w:val="00E3310A"/>
    <w:rsid w:val="00E33B9E"/>
    <w:rsid w:val="00E33C1C"/>
    <w:rsid w:val="00E34C27"/>
    <w:rsid w:val="00E4054E"/>
    <w:rsid w:val="00E47041"/>
    <w:rsid w:val="00E77225"/>
    <w:rsid w:val="00E95973"/>
    <w:rsid w:val="00ED2437"/>
    <w:rsid w:val="00EE3803"/>
    <w:rsid w:val="00EE616F"/>
    <w:rsid w:val="00F0149B"/>
    <w:rsid w:val="00F21640"/>
    <w:rsid w:val="00F8646A"/>
    <w:rsid w:val="00F876DE"/>
    <w:rsid w:val="00FB2CC4"/>
    <w:rsid w:val="00FF1750"/>
    <w:rsid w:val="00FF655F"/>
    <w:rsid w:val="03AB6FFD"/>
    <w:rsid w:val="1F104283"/>
    <w:rsid w:val="273D5D08"/>
    <w:rsid w:val="5981536D"/>
    <w:rsid w:val="70CB3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autoRedefine/>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autoRedefine/>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autoRedefine/>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autoRedefine/>
    <w:semiHidden/>
    <w:unhideWhenUsed/>
    <w:qFormat/>
    <w:uiPriority w:val="9"/>
    <w:pPr>
      <w:keepNext/>
      <w:keepLines/>
      <w:spacing w:before="120" w:after="0"/>
      <w:outlineLvl w:val="6"/>
    </w:pPr>
    <w:rPr>
      <w:i/>
      <w:iCs/>
    </w:rPr>
  </w:style>
  <w:style w:type="paragraph" w:styleId="9">
    <w:name w:val="heading 8"/>
    <w:basedOn w:val="1"/>
    <w:next w:val="1"/>
    <w:link w:val="35"/>
    <w:autoRedefine/>
    <w:semiHidden/>
    <w:unhideWhenUsed/>
    <w:qFormat/>
    <w:uiPriority w:val="9"/>
    <w:pPr>
      <w:keepNext/>
      <w:keepLines/>
      <w:spacing w:before="120" w:after="0"/>
      <w:outlineLvl w:val="7"/>
    </w:pPr>
    <w:rPr>
      <w:b/>
      <w:bCs/>
    </w:rPr>
  </w:style>
  <w:style w:type="paragraph" w:styleId="10">
    <w:name w:val="heading 9"/>
    <w:basedOn w:val="1"/>
    <w:next w:val="1"/>
    <w:link w:val="36"/>
    <w:autoRedefine/>
    <w:semiHidden/>
    <w:unhideWhenUsed/>
    <w:qFormat/>
    <w:uiPriority w:val="9"/>
    <w:pPr>
      <w:keepNext/>
      <w:keepLines/>
      <w:spacing w:before="120" w:after="0"/>
      <w:outlineLvl w:val="8"/>
    </w:pPr>
    <w:rPr>
      <w:i/>
      <w:iCs/>
    </w:rPr>
  </w:style>
  <w:style w:type="character" w:default="1" w:styleId="24">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autoRedefine/>
    <w:semiHidden/>
    <w:unhideWhenUsed/>
    <w:qFormat/>
    <w:uiPriority w:val="35"/>
    <w:rPr>
      <w:b/>
      <w:bCs/>
      <w:sz w:val="18"/>
      <w:szCs w:val="18"/>
    </w:rPr>
  </w:style>
  <w:style w:type="paragraph" w:styleId="13">
    <w:name w:val="Body Text"/>
    <w:basedOn w:val="1"/>
    <w:link w:val="58"/>
    <w:autoRedefine/>
    <w:semiHidden/>
    <w:unhideWhenUsed/>
    <w:qFormat/>
    <w:uiPriority w:val="99"/>
    <w:pPr>
      <w:spacing w:after="120"/>
    </w:pPr>
  </w:style>
  <w:style w:type="paragraph" w:styleId="14">
    <w:name w:val="toc 3"/>
    <w:basedOn w:val="1"/>
    <w:next w:val="1"/>
    <w:autoRedefine/>
    <w:unhideWhenUsed/>
    <w:qFormat/>
    <w:uiPriority w:val="39"/>
    <w:pPr>
      <w:spacing w:after="100" w:line="259" w:lineRule="auto"/>
      <w:ind w:left="440"/>
      <w:jc w:val="left"/>
    </w:pPr>
    <w:rPr>
      <w:rFonts w:cs="Times New Roman"/>
    </w:rPr>
  </w:style>
  <w:style w:type="paragraph" w:styleId="15">
    <w:name w:val="Plain Text"/>
    <w:basedOn w:val="1"/>
    <w:link w:val="57"/>
    <w:autoRedefine/>
    <w:unhideWhenUsed/>
    <w:qFormat/>
    <w:uiPriority w:val="0"/>
    <w:rPr>
      <w:rFonts w:hAnsi="Courier New" w:cs="Courier New" w:asciiTheme="minorEastAsia"/>
    </w:rPr>
  </w:style>
  <w:style w:type="paragraph" w:styleId="16">
    <w:name w:val="footer"/>
    <w:basedOn w:val="1"/>
    <w:link w:val="53"/>
    <w:autoRedefine/>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autoRedefine/>
    <w:unhideWhenUsed/>
    <w:qFormat/>
    <w:uiPriority w:val="39"/>
    <w:pPr>
      <w:spacing w:after="100" w:line="259" w:lineRule="auto"/>
      <w:jc w:val="left"/>
    </w:pPr>
    <w:rPr>
      <w:rFonts w:cs="Times New Roman"/>
    </w:rPr>
  </w:style>
  <w:style w:type="paragraph" w:styleId="19">
    <w:name w:val="Subtitle"/>
    <w:basedOn w:val="1"/>
    <w:next w:val="1"/>
    <w:link w:val="38"/>
    <w:autoRedefine/>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autoRedefine/>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autoRedefine/>
    <w:unhideWhenUsed/>
    <w:uiPriority w:val="39"/>
    <w:pPr>
      <w:spacing w:after="100" w:line="259" w:lineRule="auto"/>
      <w:ind w:left="220"/>
      <w:jc w:val="left"/>
    </w:pPr>
    <w:rPr>
      <w:rFonts w:cs="Times New Roman"/>
    </w:rPr>
  </w:style>
  <w:style w:type="paragraph" w:styleId="22">
    <w:name w:val="Title"/>
    <w:basedOn w:val="1"/>
    <w:next w:val="1"/>
    <w:link w:val="37"/>
    <w:autoRedefine/>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autoRedefine/>
    <w:qFormat/>
    <w:uiPriority w:val="22"/>
    <w:rPr>
      <w:b/>
      <w:bCs/>
      <w:color w:val="auto"/>
    </w:rPr>
  </w:style>
  <w:style w:type="character" w:styleId="26">
    <w:name w:val="Emphasis"/>
    <w:basedOn w:val="24"/>
    <w:autoRedefine/>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autoRedefine/>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autoRedefine/>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autoRedefine/>
    <w:semiHidden/>
    <w:uiPriority w:val="9"/>
    <w:rPr>
      <w:rFonts w:asciiTheme="majorHAnsi" w:hAnsiTheme="majorHAnsi" w:eastAsiaTheme="majorEastAsia" w:cstheme="majorBidi"/>
      <w:spacing w:val="4"/>
      <w:sz w:val="24"/>
      <w:szCs w:val="24"/>
    </w:rPr>
  </w:style>
  <w:style w:type="character" w:customStyle="1" w:styleId="31">
    <w:name w:val="标题 4 字符"/>
    <w:basedOn w:val="24"/>
    <w:link w:val="5"/>
    <w:autoRedefine/>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autoRedefine/>
    <w:semiHidden/>
    <w:qFormat/>
    <w:uiPriority w:val="9"/>
    <w:rPr>
      <w:rFonts w:asciiTheme="majorHAnsi" w:hAnsiTheme="majorHAnsi" w:eastAsiaTheme="majorEastAsia" w:cstheme="majorBidi"/>
      <w:b/>
      <w:bCs/>
    </w:rPr>
  </w:style>
  <w:style w:type="character" w:customStyle="1" w:styleId="33">
    <w:name w:val="标题 6 字符"/>
    <w:basedOn w:val="24"/>
    <w:link w:val="7"/>
    <w:autoRedefine/>
    <w:semiHidden/>
    <w:qFormat/>
    <w:uiPriority w:val="9"/>
    <w:rPr>
      <w:rFonts w:asciiTheme="majorHAnsi" w:hAnsiTheme="majorHAnsi" w:eastAsiaTheme="majorEastAsia" w:cstheme="majorBidi"/>
      <w:b/>
      <w:bCs/>
      <w:i/>
      <w:iCs/>
    </w:rPr>
  </w:style>
  <w:style w:type="character" w:customStyle="1" w:styleId="34">
    <w:name w:val="标题 7 字符"/>
    <w:basedOn w:val="24"/>
    <w:link w:val="8"/>
    <w:autoRedefine/>
    <w:semiHidden/>
    <w:qFormat/>
    <w:uiPriority w:val="9"/>
    <w:rPr>
      <w:i/>
      <w:iCs/>
    </w:rPr>
  </w:style>
  <w:style w:type="character" w:customStyle="1" w:styleId="35">
    <w:name w:val="标题 8 字符"/>
    <w:basedOn w:val="24"/>
    <w:link w:val="9"/>
    <w:autoRedefine/>
    <w:semiHidden/>
    <w:qFormat/>
    <w:uiPriority w:val="9"/>
    <w:rPr>
      <w:b/>
      <w:bCs/>
    </w:rPr>
  </w:style>
  <w:style w:type="character" w:customStyle="1" w:styleId="36">
    <w:name w:val="标题 9 字符"/>
    <w:basedOn w:val="24"/>
    <w:link w:val="10"/>
    <w:autoRedefine/>
    <w:semiHidden/>
    <w:qFormat/>
    <w:uiPriority w:val="9"/>
    <w:rPr>
      <w:i/>
      <w:iCs/>
    </w:rPr>
  </w:style>
  <w:style w:type="character" w:customStyle="1" w:styleId="37">
    <w:name w:val="标题 字符"/>
    <w:basedOn w:val="24"/>
    <w:link w:val="22"/>
    <w:autoRedefine/>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autoRedefine/>
    <w:qFormat/>
    <w:uiPriority w:val="11"/>
    <w:rPr>
      <w:rFonts w:asciiTheme="majorHAnsi" w:hAnsiTheme="majorHAnsi" w:eastAsiaTheme="majorEastAsia" w:cstheme="majorBidi"/>
      <w:sz w:val="24"/>
      <w:szCs w:val="24"/>
    </w:rPr>
  </w:style>
  <w:style w:type="paragraph" w:styleId="39">
    <w:name w:val="No Spacing"/>
    <w:link w:val="50"/>
    <w:autoRedefine/>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autoRedefine/>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autoRedefine/>
    <w:qFormat/>
    <w:uiPriority w:val="29"/>
    <w:rPr>
      <w:rFonts w:asciiTheme="majorHAnsi" w:hAnsiTheme="majorHAnsi" w:eastAsiaTheme="majorEastAsia" w:cstheme="majorBidi"/>
      <w:i/>
      <w:iCs/>
      <w:sz w:val="24"/>
      <w:szCs w:val="24"/>
    </w:rPr>
  </w:style>
  <w:style w:type="paragraph" w:styleId="42">
    <w:name w:val="Intense Quote"/>
    <w:basedOn w:val="1"/>
    <w:next w:val="1"/>
    <w:link w:val="43"/>
    <w:autoRedefine/>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autoRedefine/>
    <w:qFormat/>
    <w:uiPriority w:val="30"/>
    <w:rPr>
      <w:rFonts w:asciiTheme="majorHAnsi" w:hAnsiTheme="majorHAnsi" w:eastAsiaTheme="majorEastAsia" w:cstheme="majorBidi"/>
      <w:sz w:val="26"/>
      <w:szCs w:val="26"/>
    </w:rPr>
  </w:style>
  <w:style w:type="character" w:customStyle="1" w:styleId="44">
    <w:name w:val="Subtle Emphasis"/>
    <w:basedOn w:val="24"/>
    <w:autoRedefine/>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autoRedefine/>
    <w:qFormat/>
    <w:uiPriority w:val="31"/>
    <w:rPr>
      <w:smallCaps/>
      <w:color w:val="auto"/>
      <w:u w:val="single" w:color="7E7E7E" w:themeColor="text1" w:themeTint="80"/>
    </w:rPr>
  </w:style>
  <w:style w:type="character" w:customStyle="1" w:styleId="47">
    <w:name w:val="Intense Reference"/>
    <w:basedOn w:val="24"/>
    <w:autoRedefine/>
    <w:qFormat/>
    <w:uiPriority w:val="32"/>
    <w:rPr>
      <w:b/>
      <w:bCs/>
      <w:smallCaps/>
      <w:color w:val="auto"/>
      <w:u w:val="single"/>
    </w:rPr>
  </w:style>
  <w:style w:type="character" w:customStyle="1" w:styleId="48">
    <w:name w:val="Book Title"/>
    <w:basedOn w:val="24"/>
    <w:autoRedefine/>
    <w:qFormat/>
    <w:uiPriority w:val="33"/>
    <w:rPr>
      <w:b/>
      <w:bCs/>
      <w:smallCaps/>
      <w:color w:val="auto"/>
    </w:rPr>
  </w:style>
  <w:style w:type="paragraph" w:customStyle="1" w:styleId="49">
    <w:name w:val="TOC Heading"/>
    <w:basedOn w:val="2"/>
    <w:next w:val="1"/>
    <w:autoRedefine/>
    <w:unhideWhenUsed/>
    <w:qFormat/>
    <w:uiPriority w:val="39"/>
    <w:pPr>
      <w:outlineLvl w:val="9"/>
    </w:pPr>
  </w:style>
  <w:style w:type="character" w:customStyle="1" w:styleId="50">
    <w:name w:val="无间隔 字符"/>
    <w:basedOn w:val="24"/>
    <w:link w:val="39"/>
    <w:autoRedefine/>
    <w:qFormat/>
    <w:uiPriority w:val="1"/>
  </w:style>
  <w:style w:type="paragraph" w:customStyle="1" w:styleId="51">
    <w:name w:val="Default"/>
    <w:autoRedefine/>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autoRedefine/>
    <w:qFormat/>
    <w:uiPriority w:val="99"/>
    <w:rPr>
      <w:sz w:val="18"/>
      <w:szCs w:val="18"/>
    </w:rPr>
  </w:style>
  <w:style w:type="character" w:customStyle="1" w:styleId="53">
    <w:name w:val="页脚 字符"/>
    <w:basedOn w:val="24"/>
    <w:link w:val="16"/>
    <w:autoRedefine/>
    <w:qFormat/>
    <w:uiPriority w:val="99"/>
    <w:rPr>
      <w:sz w:val="18"/>
      <w:szCs w:val="18"/>
    </w:rPr>
  </w:style>
  <w:style w:type="paragraph" w:styleId="54">
    <w:name w:val="List Paragraph"/>
    <w:basedOn w:val="1"/>
    <w:autoRedefine/>
    <w:qFormat/>
    <w:uiPriority w:val="34"/>
    <w:pPr>
      <w:ind w:firstLine="420" w:firstLineChars="200"/>
    </w:pPr>
  </w:style>
  <w:style w:type="character" w:customStyle="1" w:styleId="55">
    <w:name w:val="正文文本缩进 3 字符"/>
    <w:basedOn w:val="24"/>
    <w:link w:val="20"/>
    <w:autoRedefine/>
    <w:qFormat/>
    <w:uiPriority w:val="0"/>
    <w:rPr>
      <w:rFonts w:ascii="Times New Roman" w:hAnsi="Times New Roman" w:eastAsia="宋体" w:cs="Times New Roman"/>
      <w:kern w:val="2"/>
      <w:sz w:val="16"/>
      <w:szCs w:val="16"/>
    </w:rPr>
  </w:style>
  <w:style w:type="paragraph" w:customStyle="1" w:styleId="56">
    <w:name w:val="样式3"/>
    <w:basedOn w:val="15"/>
    <w:autoRedefine/>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autoRedefine/>
    <w:semiHidden/>
    <w:qFormat/>
    <w:uiPriority w:val="99"/>
    <w:rPr>
      <w:rFonts w:hAnsi="Courier New" w:cs="Courier New" w:asciiTheme="minorEastAsia"/>
    </w:rPr>
  </w:style>
  <w:style w:type="character" w:customStyle="1" w:styleId="58">
    <w:name w:val="正文文本 字符"/>
    <w:basedOn w:val="24"/>
    <w:link w:val="13"/>
    <w:semiHidden/>
    <w:uiPriority w:val="99"/>
  </w:style>
  <w:style w:type="character" w:customStyle="1" w:styleId="59">
    <w:name w:val="纯文本 Char"/>
    <w:autoRedefine/>
    <w:qFormat/>
    <w:uiPriority w:val="0"/>
    <w:rPr>
      <w:rFonts w:ascii="宋体" w:hAnsi="Courier New" w:eastAsia="宋体"/>
      <w:kern w:val="2"/>
      <w:sz w:val="21"/>
      <w:lang w:val="en-US" w:eastAsia="zh-CN" w:bidi="ar-SA"/>
    </w:rPr>
  </w:style>
  <w:style w:type="character" w:customStyle="1" w:styleId="60">
    <w:name w:val="font11"/>
    <w:basedOn w:val="24"/>
    <w:autoRedefine/>
    <w:qFormat/>
    <w:uiPriority w:val="0"/>
    <w:rPr>
      <w:rFonts w:hint="eastAsia" w:ascii="宋体" w:hAnsi="宋体" w:eastAsia="宋体" w:cs="宋体"/>
      <w:color w:val="000000"/>
      <w:sz w:val="24"/>
      <w:szCs w:val="24"/>
      <w:u w:val="none"/>
    </w:rPr>
  </w:style>
  <w:style w:type="character" w:customStyle="1" w:styleId="61">
    <w:name w:val="font21"/>
    <w:basedOn w:val="24"/>
    <w:autoRedefine/>
    <w:qFormat/>
    <w:uiPriority w:val="0"/>
    <w:rPr>
      <w:rFonts w:hint="eastAsia" w:ascii="宋体" w:hAnsi="宋体" w:eastAsia="宋体" w:cs="宋体"/>
      <w:b/>
      <w:bCs/>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17</Pages>
  <Words>474</Words>
  <Characters>2706</Characters>
  <Lines>22</Lines>
  <Paragraphs>6</Paragraphs>
  <TotalTime>4</TotalTime>
  <ScaleCrop>false</ScaleCrop>
  <LinksUpToDate>false</LinksUpToDate>
  <CharactersWithSpaces>3174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Deity雅</cp:lastModifiedBy>
  <dcterms:modified xsi:type="dcterms:W3CDTF">2024-04-19T06:35:22Z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DA9E52C9056B4D1B9847BD9614A5FFB4_13</vt:lpwstr>
  </property>
</Properties>
</file>