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jc w:val="center"/>
        <w:outlineLvl w:val="0"/>
        <w:rPr>
          <w:rFonts w:ascii="仿宋" w:hAnsi="仿宋" w:eastAsia="仿宋"/>
          <w:b/>
          <w:color w:val="auto"/>
          <w:sz w:val="44"/>
          <w:szCs w:val="44"/>
        </w:rPr>
      </w:pPr>
      <w:bookmarkStart w:id="0" w:name="_Toc266868924"/>
      <w:bookmarkStart w:id="1" w:name="_Toc267060407"/>
      <w:bookmarkStart w:id="2" w:name="_Toc267059161"/>
      <w:bookmarkStart w:id="3" w:name="_Toc266870861"/>
      <w:bookmarkStart w:id="4" w:name="_Toc160880487"/>
      <w:bookmarkStart w:id="5" w:name="_Toc266870386"/>
      <w:bookmarkStart w:id="6" w:name="_Toc170798743"/>
      <w:bookmarkStart w:id="7" w:name="_Toc211937196"/>
      <w:bookmarkStart w:id="8" w:name="_Toc212530253"/>
      <w:bookmarkStart w:id="9" w:name="_Toc235438297"/>
      <w:bookmarkStart w:id="10" w:name="_Toc266868624"/>
      <w:bookmarkStart w:id="11" w:name="_Toc212526081"/>
      <w:bookmarkStart w:id="12" w:name="_Toc216241307"/>
      <w:bookmarkStart w:id="13" w:name="_Toc227058483"/>
      <w:bookmarkStart w:id="14" w:name="_Toc267059786"/>
      <w:bookmarkStart w:id="15" w:name="_Toc169332794"/>
      <w:bookmarkStart w:id="16" w:name="_Toc267059519"/>
      <w:bookmarkStart w:id="17" w:name="_Toc212454753"/>
      <w:bookmarkStart w:id="18" w:name="_Toc177985424"/>
      <w:bookmarkStart w:id="19" w:name="_Toc207014580"/>
      <w:bookmarkStart w:id="20" w:name="_Toc267059633"/>
      <w:bookmarkStart w:id="21" w:name="_Toc267060162"/>
      <w:bookmarkStart w:id="22" w:name="_Toc217891359"/>
      <w:bookmarkStart w:id="23" w:name="_Toc235437942"/>
      <w:bookmarkStart w:id="24" w:name="_Toc169332904"/>
      <w:bookmarkStart w:id="25" w:name="_Toc259692600"/>
      <w:bookmarkStart w:id="26" w:name="_Toc235438227"/>
      <w:bookmarkStart w:id="27" w:name="_Toc267059899"/>
      <w:bookmarkStart w:id="28" w:name="_Toc225669277"/>
      <w:bookmarkStart w:id="29" w:name="_Toc267060022"/>
      <w:bookmarkStart w:id="30" w:name="_Toc267059010"/>
      <w:bookmarkStart w:id="31" w:name="_Toc273178686"/>
      <w:bookmarkStart w:id="32" w:name="_Toc259692693"/>
      <w:bookmarkStart w:id="33" w:name="_Toc212456146"/>
      <w:bookmarkStart w:id="34" w:name="_Toc219800200"/>
      <w:bookmarkStart w:id="35" w:name="_Toc223146565"/>
      <w:bookmarkStart w:id="36" w:name="_Toc254790852"/>
      <w:bookmarkStart w:id="37" w:name="_Toc253066567"/>
      <w:bookmarkStart w:id="38" w:name="_Toc249325665"/>
      <w:bookmarkStart w:id="39" w:name="_Toc258401210"/>
      <w:bookmarkStart w:id="40" w:name="_Toc251613780"/>
      <w:bookmarkStart w:id="41" w:name="_Toc255974963"/>
      <w:bookmarkStart w:id="42" w:name="_Toc259520819"/>
      <w:bookmarkStart w:id="43" w:name="_Toc236021402"/>
      <w:bookmarkStart w:id="44" w:name="_Toc251586187"/>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480" w:firstLineChars="200"/>
        <w:rPr>
          <w:rFonts w:hint="eastAsia" w:ascii="仿宋" w:hAnsi="仿宋" w:eastAsia="仿宋" w:cs="仿宋"/>
          <w:color w:val="auto"/>
          <w:sz w:val="24"/>
          <w:szCs w:val="24"/>
        </w:rPr>
      </w:pPr>
      <w:bookmarkStart w:id="45" w:name="_Hlk10840310"/>
      <w:bookmarkStart w:id="179" w:name="_GoBack"/>
      <w:r>
        <w:rPr>
          <w:rFonts w:hint="eastAsia" w:ascii="仿宋" w:hAnsi="仿宋" w:eastAsia="仿宋" w:cs="仿宋"/>
          <w:color w:val="000000" w:themeColor="text1"/>
          <w:sz w:val="24"/>
          <w:szCs w:val="24"/>
          <w:lang w:eastAsia="zh-CN"/>
          <w14:textFill>
            <w14:solidFill>
              <w14:schemeClr w14:val="tx1"/>
            </w14:solidFill>
          </w14:textFill>
        </w:rPr>
        <w:t>郑</w:t>
      </w:r>
      <w:r>
        <w:rPr>
          <w:rFonts w:hint="eastAsia" w:ascii="仿宋" w:hAnsi="仿宋" w:eastAsia="仿宋" w:cs="仿宋"/>
          <w:color w:val="000000" w:themeColor="text1"/>
          <w:sz w:val="24"/>
          <w:szCs w:val="24"/>
          <w14:textFill>
            <w14:solidFill>
              <w14:schemeClr w14:val="tx1"/>
            </w14:solidFill>
          </w14:textFill>
        </w:rPr>
        <w:t>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s="仿宋"/>
          <w:color w:val="000000" w:themeColor="text1"/>
          <w:sz w:val="24"/>
          <w:szCs w:val="24"/>
          <w:lang w:eastAsia="zh-CN"/>
          <w14:textFill>
            <w14:solidFill>
              <w14:schemeClr w14:val="tx1"/>
            </w14:solidFill>
          </w14:textFill>
        </w:rPr>
        <w:t>郑州城轨交通中等专业</w:t>
      </w:r>
      <w:r>
        <w:rPr>
          <w:rFonts w:hint="eastAsia" w:ascii="仿宋" w:hAnsi="仿宋" w:eastAsia="仿宋" w:cs="仿宋"/>
          <w:color w:val="000000" w:themeColor="text1"/>
          <w:sz w:val="24"/>
          <w:szCs w:val="24"/>
          <w14:textFill>
            <w14:solidFill>
              <w14:schemeClr w14:val="tx1"/>
            </w14:solidFill>
          </w14:textFill>
        </w:rPr>
        <w:t>学校</w:t>
      </w:r>
      <w:r>
        <w:rPr>
          <w:rFonts w:hint="eastAsia" w:ascii="仿宋" w:hAnsi="仿宋" w:eastAsia="仿宋" w:cs="仿宋"/>
          <w:color w:val="000000" w:themeColor="text1"/>
          <w:sz w:val="24"/>
          <w:szCs w:val="24"/>
          <w:lang w:val="en-US" w:eastAsia="zh-CN"/>
          <w14:textFill>
            <w14:solidFill>
              <w14:schemeClr w14:val="tx1"/>
            </w14:solidFill>
          </w14:textFill>
        </w:rPr>
        <w:t>2022年车辆维修项目(二次）</w:t>
      </w:r>
      <w:r>
        <w:rPr>
          <w:rFonts w:hint="eastAsia" w:ascii="仿宋" w:hAnsi="仿宋" w:eastAsia="仿宋" w:cs="仿宋"/>
          <w:color w:val="000000" w:themeColor="text1"/>
          <w:sz w:val="24"/>
          <w:szCs w:val="24"/>
          <w14:textFill>
            <w14:solidFill>
              <w14:schemeClr w14:val="tx1"/>
            </w14:solidFill>
          </w14:textFill>
        </w:rPr>
        <w:t>进行公开询价，欢迎国内合格参与人参与。</w:t>
      </w:r>
    </w:p>
    <w:p>
      <w:pPr>
        <w:spacing w:after="0" w:line="500" w:lineRule="exact"/>
        <w:ind w:firstLine="364" w:firstLineChars="152"/>
        <w:jc w:val="left"/>
        <w:rPr>
          <w:rFonts w:hint="eastAsia" w:ascii="仿宋" w:hAnsi="仿宋" w:eastAsia="仿宋" w:cs="仿宋"/>
          <w:color w:val="000000"/>
          <w:sz w:val="24"/>
          <w:szCs w:val="24"/>
        </w:rPr>
      </w:pPr>
      <w:r>
        <w:rPr>
          <w:rFonts w:hint="eastAsia" w:ascii="仿宋" w:hAnsi="仿宋" w:eastAsia="仿宋" w:cs="仿宋"/>
          <w:color w:val="000000"/>
          <w:sz w:val="24"/>
          <w:szCs w:val="24"/>
        </w:rPr>
        <w:t>一、项目说明</w:t>
      </w:r>
    </w:p>
    <w:p>
      <w:pPr>
        <w:widowControl w:val="0"/>
        <w:numPr>
          <w:ilvl w:val="1"/>
          <w:numId w:val="1"/>
        </w:numPr>
        <w:spacing w:after="0" w:line="500" w:lineRule="exact"/>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b w:val="0"/>
          <w:bCs/>
          <w:color w:val="auto"/>
          <w:sz w:val="24"/>
          <w:szCs w:val="24"/>
          <w:lang w:val="en-US" w:eastAsia="zh-CN"/>
        </w:rPr>
        <w:t>ZZCG20220406</w:t>
      </w:r>
    </w:p>
    <w:p>
      <w:pPr>
        <w:widowControl w:val="0"/>
        <w:numPr>
          <w:ilvl w:val="1"/>
          <w:numId w:val="1"/>
        </w:numPr>
        <w:spacing w:after="0" w:line="500" w:lineRule="exact"/>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val="en-US" w:eastAsia="zh-CN"/>
        </w:rPr>
        <w:t>郑州城轨交通中等专业</w:t>
      </w:r>
      <w:r>
        <w:rPr>
          <w:rFonts w:hint="eastAsia" w:ascii="仿宋" w:hAnsi="仿宋" w:eastAsia="仿宋" w:cs="仿宋"/>
          <w:color w:val="auto"/>
          <w:sz w:val="24"/>
          <w:szCs w:val="24"/>
          <w:lang w:val="en-US" w:eastAsia="zh-CN"/>
        </w:rPr>
        <w:t>学校2022年车辆维修项目(二次）</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sz w:val="24"/>
          <w:szCs w:val="24"/>
        </w:rPr>
        <w:t>数量及主要技术要</w:t>
      </w:r>
      <w:r>
        <w:rPr>
          <w:rFonts w:hint="eastAsia" w:ascii="仿宋" w:hAnsi="仿宋" w:eastAsia="仿宋" w:cs="仿宋"/>
          <w:color w:val="auto"/>
          <w:sz w:val="24"/>
          <w:szCs w:val="24"/>
          <w:highlight w:val="none"/>
        </w:rPr>
        <w:t>求:详见《公开询价货物一览表》。</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参与人资格标准：</w:t>
      </w:r>
    </w:p>
    <w:p>
      <w:pPr>
        <w:pStyle w:val="55"/>
        <w:numPr>
          <w:ilvl w:val="0"/>
          <w:numId w:val="2"/>
        </w:numPr>
        <w:spacing w:after="0" w:line="500" w:lineRule="exact"/>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参与人应具有独立法人资格的生产厂商或授权经销商。</w:t>
      </w:r>
    </w:p>
    <w:p>
      <w:pPr>
        <w:pStyle w:val="55"/>
        <w:numPr>
          <w:ilvl w:val="0"/>
          <w:numId w:val="2"/>
        </w:numPr>
        <w:spacing w:after="0" w:line="500" w:lineRule="exact"/>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参与人应具有合法有效的营业执照，经营范围应包括</w:t>
      </w:r>
      <w:r>
        <w:rPr>
          <w:rFonts w:hint="eastAsia" w:ascii="仿宋" w:hAnsi="仿宋" w:eastAsia="仿宋" w:cs="仿宋"/>
          <w:color w:val="auto"/>
          <w:sz w:val="24"/>
          <w:szCs w:val="24"/>
          <w:highlight w:val="none"/>
          <w:lang w:val="en-US" w:eastAsia="zh-CN"/>
        </w:rPr>
        <w:t>汽车维修相关</w:t>
      </w:r>
      <w:r>
        <w:rPr>
          <w:rFonts w:hint="eastAsia" w:ascii="仿宋" w:hAnsi="仿宋" w:eastAsia="仿宋" w:cs="仿宋"/>
          <w:color w:val="auto"/>
          <w:sz w:val="24"/>
          <w:szCs w:val="24"/>
          <w:highlight w:val="none"/>
        </w:rPr>
        <w:t>资质</w:t>
      </w:r>
    </w:p>
    <w:p>
      <w:pPr>
        <w:pStyle w:val="55"/>
        <w:numPr>
          <w:ilvl w:val="0"/>
          <w:numId w:val="2"/>
        </w:numPr>
        <w:spacing w:after="0" w:line="500" w:lineRule="exact"/>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参与人应具有提供</w:t>
      </w:r>
      <w:r>
        <w:rPr>
          <w:rFonts w:hint="eastAsia" w:ascii="仿宋" w:hAnsi="仿宋" w:eastAsia="仿宋" w:cs="仿宋"/>
          <w:color w:val="auto"/>
          <w:sz w:val="24"/>
          <w:szCs w:val="24"/>
          <w:highlight w:val="none"/>
          <w:lang w:val="en-US" w:eastAsia="zh-CN"/>
        </w:rPr>
        <w:t>宇通客车维修</w:t>
      </w:r>
      <w:r>
        <w:rPr>
          <w:rFonts w:hint="eastAsia" w:ascii="仿宋" w:hAnsi="仿宋" w:eastAsia="仿宋" w:cs="仿宋"/>
          <w:color w:val="auto"/>
          <w:sz w:val="24"/>
          <w:szCs w:val="24"/>
          <w:highlight w:val="none"/>
        </w:rPr>
        <w:t>和服务的能力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在郑州市内有固定的维修场地</w:t>
      </w:r>
      <w:r>
        <w:rPr>
          <w:rFonts w:hint="eastAsia" w:ascii="仿宋" w:hAnsi="仿宋" w:eastAsia="仿宋" w:cs="仿宋"/>
          <w:color w:val="auto"/>
          <w:sz w:val="24"/>
          <w:szCs w:val="24"/>
          <w:highlight w:val="none"/>
        </w:rPr>
        <w:t>，具备相应的维护保养能力。</w:t>
      </w:r>
    </w:p>
    <w:p>
      <w:pPr>
        <w:widowControl w:val="0"/>
        <w:numPr>
          <w:ilvl w:val="1"/>
          <w:numId w:val="1"/>
        </w:numPr>
        <w:spacing w:after="0" w:line="500" w:lineRule="exac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报价响应文件递交截止时间</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2022</w:t>
      </w:r>
      <w:r>
        <w:rPr>
          <w:rFonts w:hint="eastAsia" w:ascii="仿宋" w:hAnsi="仿宋" w:eastAsia="仿宋" w:cs="仿宋"/>
          <w:color w:val="auto"/>
          <w:sz w:val="24"/>
          <w:szCs w:val="24"/>
          <w:highlight w:val="none"/>
          <w:shd w:val="clear" w:color="auto" w:fill="FFFFFF"/>
        </w:rPr>
        <w:t>年</w:t>
      </w:r>
      <w:r>
        <w:rPr>
          <w:rFonts w:hint="eastAsia" w:ascii="仿宋" w:hAnsi="仿宋" w:eastAsia="仿宋" w:cs="仿宋"/>
          <w:color w:val="auto"/>
          <w:sz w:val="24"/>
          <w:szCs w:val="24"/>
          <w:highlight w:val="none"/>
          <w:shd w:val="clear" w:color="auto" w:fill="FFFFFF"/>
          <w:lang w:val="en-US" w:eastAsia="zh-CN"/>
        </w:rPr>
        <w:t>6</w:t>
      </w:r>
      <w:r>
        <w:rPr>
          <w:rFonts w:hint="eastAsia" w:ascii="仿宋" w:hAnsi="仿宋" w:eastAsia="仿宋" w:cs="仿宋"/>
          <w:color w:val="auto"/>
          <w:sz w:val="24"/>
          <w:szCs w:val="24"/>
          <w:highlight w:val="none"/>
          <w:shd w:val="clear" w:color="auto" w:fill="FFFFFF"/>
        </w:rPr>
        <w:t>月</w:t>
      </w:r>
      <w:r>
        <w:rPr>
          <w:rFonts w:hint="eastAsia" w:ascii="仿宋" w:hAnsi="仿宋" w:eastAsia="仿宋" w:cs="仿宋"/>
          <w:color w:val="auto"/>
          <w:sz w:val="24"/>
          <w:szCs w:val="24"/>
          <w:highlight w:val="none"/>
          <w:shd w:val="clear" w:color="auto" w:fill="FFFFFF"/>
          <w:lang w:val="en-US" w:eastAsia="zh-CN"/>
        </w:rPr>
        <w:t>2</w:t>
      </w:r>
      <w:r>
        <w:rPr>
          <w:rFonts w:hint="eastAsia" w:ascii="仿宋" w:hAnsi="仿宋" w:eastAsia="仿宋" w:cs="仿宋"/>
          <w:color w:val="auto"/>
          <w:sz w:val="24"/>
          <w:szCs w:val="24"/>
          <w:highlight w:val="none"/>
          <w:shd w:val="clear" w:color="auto" w:fill="FFFFFF"/>
        </w:rPr>
        <w:t>日下午16:00</w:t>
      </w:r>
      <w:r>
        <w:rPr>
          <w:rFonts w:hint="eastAsia" w:ascii="仿宋" w:hAnsi="仿宋" w:eastAsia="仿宋" w:cs="仿宋"/>
          <w:color w:val="auto"/>
          <w:sz w:val="24"/>
          <w:szCs w:val="24"/>
          <w:highlight w:val="none"/>
          <w:shd w:val="clear" w:color="auto" w:fill="FFFFFF"/>
          <w:lang w:val="en-US" w:eastAsia="zh-CN"/>
        </w:rPr>
        <w:t>前</w:t>
      </w:r>
      <w:r>
        <w:rPr>
          <w:rFonts w:hint="eastAsia" w:ascii="仿宋" w:hAnsi="仿宋" w:eastAsia="仿宋" w:cs="仿宋"/>
          <w:color w:val="auto"/>
          <w:sz w:val="24"/>
          <w:szCs w:val="24"/>
          <w:highlight w:val="none"/>
          <w:shd w:val="clear" w:color="auto" w:fill="FFFFFF"/>
        </w:rPr>
        <w:t>。</w:t>
      </w:r>
    </w:p>
    <w:p>
      <w:pPr>
        <w:pStyle w:val="55"/>
        <w:numPr>
          <w:ilvl w:val="1"/>
          <w:numId w:val="1"/>
        </w:numPr>
        <w:spacing w:after="0" w:line="500" w:lineRule="exact"/>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报价响应文件递交</w:t>
      </w:r>
      <w:r>
        <w:rPr>
          <w:rFonts w:hint="eastAsia" w:ascii="仿宋" w:hAnsi="仿宋" w:eastAsia="仿宋" w:cs="仿宋"/>
          <w:color w:val="auto"/>
          <w:sz w:val="24"/>
          <w:szCs w:val="24"/>
          <w:highlight w:val="none"/>
          <w:lang w:val="en-US" w:eastAsia="zh-CN" w:bidi="ar-SA"/>
        </w:rPr>
        <w:t>地点：郑州城轨交通中等专业学校</w:t>
      </w:r>
    </w:p>
    <w:p>
      <w:pPr>
        <w:pStyle w:val="55"/>
        <w:spacing w:after="0" w:line="500" w:lineRule="exact"/>
        <w:ind w:left="839"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王景</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lang w:val="en-US" w:eastAsia="zh-CN"/>
        </w:rPr>
        <w:t>18860366321</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公开询价邀请函列示内容存有疑问的</w:t>
      </w:r>
      <w:r>
        <w:rPr>
          <w:rFonts w:hint="eastAsia" w:ascii="仿宋" w:hAnsi="仿宋" w:eastAsia="仿宋" w:cs="仿宋"/>
          <w:color w:val="auto"/>
          <w:sz w:val="24"/>
          <w:szCs w:val="24"/>
        </w:rPr>
        <w:t>，请在报价响应文件递交截止之日前，将问题以书面形式（有效签署的原件并加盖公章）提交至学校业务对接人，联系人：</w:t>
      </w:r>
      <w:r>
        <w:rPr>
          <w:rFonts w:hint="eastAsia" w:ascii="仿宋" w:hAnsi="仿宋" w:eastAsia="仿宋" w:cs="仿宋"/>
          <w:color w:val="auto"/>
          <w:sz w:val="24"/>
          <w:szCs w:val="24"/>
          <w:lang w:val="en-US" w:eastAsia="zh-CN"/>
        </w:rPr>
        <w:t>王景</w:t>
      </w:r>
      <w:r>
        <w:rPr>
          <w:rFonts w:hint="eastAsia" w:ascii="仿宋" w:hAnsi="仿宋" w:eastAsia="仿宋" w:cs="仿宋"/>
          <w:color w:val="auto"/>
          <w:sz w:val="24"/>
          <w:szCs w:val="24"/>
        </w:rPr>
        <w:t>，电话：</w:t>
      </w:r>
      <w:r>
        <w:rPr>
          <w:rFonts w:hint="eastAsia" w:ascii="仿宋" w:hAnsi="仿宋" w:eastAsia="仿宋" w:cs="仿宋"/>
          <w:color w:val="auto"/>
          <w:sz w:val="24"/>
          <w:szCs w:val="24"/>
          <w:lang w:val="en-US" w:eastAsia="zh-CN"/>
        </w:rPr>
        <w:t>18860366321</w:t>
      </w:r>
      <w:r>
        <w:rPr>
          <w:rFonts w:hint="eastAsia" w:ascii="仿宋" w:hAnsi="仿宋" w:eastAsia="仿宋" w:cs="仿宋"/>
          <w:color w:val="auto"/>
          <w:sz w:val="24"/>
          <w:szCs w:val="24"/>
        </w:rPr>
        <w:t>。采购人不对超时提交及未加盖公章的质疑文件进行回复。</w:t>
      </w:r>
    </w:p>
    <w:p>
      <w:pPr>
        <w:widowControl w:val="0"/>
        <w:numPr>
          <w:ilvl w:val="1"/>
          <w:numId w:val="1"/>
        </w:numPr>
        <w:spacing w:after="0" w:line="460" w:lineRule="exact"/>
        <w:rPr>
          <w:rFonts w:hint="eastAsia" w:ascii="仿宋" w:hAnsi="仿宋" w:eastAsia="仿宋" w:cs="仿宋"/>
          <w:color w:val="auto"/>
          <w:sz w:val="24"/>
          <w:szCs w:val="24"/>
        </w:rPr>
      </w:pPr>
      <w:bookmarkStart w:id="46" w:name="_Hlk97917519"/>
      <w:r>
        <w:rPr>
          <w:rFonts w:hint="eastAsia" w:ascii="仿宋" w:hAnsi="仿宋" w:eastAsia="仿宋" w:cs="仿宋"/>
          <w:color w:val="auto"/>
          <w:sz w:val="24"/>
          <w:szCs w:val="24"/>
        </w:rPr>
        <w:t>本项目最终成交结果会在中教集团后勤贤知平台“中标信息公示”板块公示，网址：</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"http://www.ceghqxz.com" </w:instrText>
      </w:r>
      <w:r>
        <w:rPr>
          <w:rFonts w:hint="eastAsia" w:ascii="仿宋" w:hAnsi="仿宋" w:eastAsia="仿宋" w:cs="仿宋"/>
          <w:color w:val="auto"/>
          <w:sz w:val="24"/>
          <w:szCs w:val="24"/>
        </w:rPr>
        <w:fldChar w:fldCharType="separate"/>
      </w:r>
      <w:r>
        <w:rPr>
          <w:rStyle w:val="28"/>
          <w:rFonts w:hint="eastAsia" w:ascii="仿宋" w:hAnsi="仿宋" w:eastAsia="仿宋" w:cs="仿宋"/>
          <w:color w:val="auto"/>
          <w:sz w:val="24"/>
          <w:szCs w:val="24"/>
        </w:rPr>
        <w:t>www.ceghqxz.com</w:t>
      </w:r>
      <w:r>
        <w:rPr>
          <w:rStyle w:val="28"/>
          <w:rFonts w:hint="eastAsia" w:ascii="仿宋" w:hAnsi="仿宋" w:eastAsia="仿宋" w:cs="仿宋"/>
          <w:color w:val="auto"/>
          <w:sz w:val="24"/>
          <w:szCs w:val="24"/>
        </w:rPr>
        <w:fldChar w:fldCharType="end"/>
      </w: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采购过程和成交结果有异议的，</w:t>
      </w:r>
      <w:bookmarkEnd w:id="46"/>
      <w:r>
        <w:rPr>
          <w:rFonts w:hint="eastAsia" w:ascii="仿宋" w:hAnsi="仿宋" w:eastAsia="仿宋" w:cs="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auto"/>
          <w:sz w:val="24"/>
          <w:szCs w:val="24"/>
        </w:rPr>
      </w:pPr>
      <w:r>
        <w:rPr>
          <w:rFonts w:hint="eastAsia" w:ascii="仿宋" w:hAnsi="仿宋" w:eastAsia="仿宋" w:cs="仿宋"/>
          <w:color w:val="auto"/>
          <w:sz w:val="24"/>
          <w:szCs w:val="24"/>
        </w:rPr>
        <w:t>投诉受理部门：中教集团内控部，投诉电话： 0791-88106510 /0791-88102608</w:t>
      </w:r>
    </w:p>
    <w:p>
      <w:pPr>
        <w:widowControl w:val="0"/>
        <w:tabs>
          <w:tab w:val="left" w:pos="839"/>
        </w:tabs>
        <w:spacing w:after="0" w:line="460" w:lineRule="exact"/>
        <w:ind w:left="420"/>
        <w:rPr>
          <w:rFonts w:hint="eastAsia" w:ascii="仿宋" w:hAnsi="仿宋" w:eastAsia="仿宋" w:cs="仿宋"/>
          <w:b/>
          <w:bCs/>
          <w:color w:val="FF0000"/>
          <w:sz w:val="24"/>
          <w:szCs w:val="24"/>
        </w:rPr>
      </w:pPr>
      <w:r>
        <w:rPr>
          <w:rFonts w:hint="eastAsia" w:ascii="仿宋" w:hAnsi="仿宋" w:eastAsia="仿宋" w:cs="仿宋"/>
          <w:color w:val="000000"/>
          <w:sz w:val="24"/>
          <w:szCs w:val="24"/>
        </w:rPr>
        <w:t>二、参与人须知</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所有货物均以人民币报价；</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报价响应文件必须用A4幅面纸张打印，须由参与人填写并加盖公章（正本</w:t>
      </w:r>
      <w:r>
        <w:rPr>
          <w:rFonts w:hint="eastAsia" w:ascii="仿宋" w:hAnsi="仿宋" w:eastAsia="仿宋" w:cs="仿宋"/>
          <w:sz w:val="24"/>
          <w:szCs w:val="24"/>
          <w:lang w:eastAsia="zh-CN"/>
        </w:rPr>
        <w:t>壹</w:t>
      </w:r>
      <w:r>
        <w:rPr>
          <w:rFonts w:hint="eastAsia" w:ascii="仿宋" w:hAnsi="仿宋" w:eastAsia="仿宋" w:cs="仿宋"/>
          <w:sz w:val="24"/>
          <w:szCs w:val="24"/>
        </w:rPr>
        <w:t>份副本</w:t>
      </w:r>
      <w:r>
        <w:rPr>
          <w:rFonts w:hint="eastAsia" w:ascii="仿宋" w:hAnsi="仿宋" w:eastAsia="仿宋" w:cs="仿宋"/>
          <w:sz w:val="24"/>
          <w:szCs w:val="24"/>
          <w:lang w:eastAsia="zh-CN"/>
        </w:rPr>
        <w:t>壹</w:t>
      </w:r>
      <w:r>
        <w:rPr>
          <w:rFonts w:hint="eastAsia" w:ascii="仿宋" w:hAnsi="仿宋" w:eastAsia="仿宋" w:cs="仿宋"/>
          <w:sz w:val="24"/>
          <w:szCs w:val="24"/>
        </w:rPr>
        <w:t>份）；</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cs="仿宋"/>
          <w:sz w:val="24"/>
          <w:szCs w:val="24"/>
        </w:rPr>
      </w:pPr>
      <w:r>
        <w:rPr>
          <w:rFonts w:hint="eastAsia" w:ascii="仿宋" w:hAnsi="仿宋" w:eastAsia="仿宋" w:cs="仿宋"/>
          <w:sz w:val="24"/>
          <w:szCs w:val="24"/>
        </w:rPr>
        <w:t>一个参与人只能提交一个报价响应文件，本项目不接受联合体报价。</w:t>
      </w:r>
    </w:p>
    <w:p>
      <w:pPr>
        <w:spacing w:after="0" w:line="500" w:lineRule="exact"/>
        <w:ind w:firstLine="364" w:firstLineChars="152"/>
        <w:jc w:val="left"/>
        <w:rPr>
          <w:rFonts w:hint="eastAsia" w:ascii="仿宋" w:hAnsi="仿宋" w:eastAsia="仿宋" w:cs="仿宋"/>
          <w:color w:val="FF0000"/>
          <w:sz w:val="24"/>
          <w:szCs w:val="24"/>
        </w:rPr>
      </w:pPr>
      <w:r>
        <w:rPr>
          <w:rFonts w:hint="eastAsia" w:ascii="仿宋" w:hAnsi="仿宋" w:eastAsia="仿宋" w:cs="仿宋"/>
          <w:sz w:val="24"/>
          <w:szCs w:val="24"/>
        </w:rPr>
        <w:t>三、售后服务要求</w:t>
      </w:r>
    </w:p>
    <w:p>
      <w:pPr>
        <w:pStyle w:val="55"/>
        <w:widowControl w:val="0"/>
        <w:numPr>
          <w:ilvl w:val="3"/>
          <w:numId w:val="4"/>
        </w:numPr>
        <w:spacing w:after="0" w:line="500" w:lineRule="exact"/>
        <w:ind w:left="851" w:hanging="425" w:firstLineChars="0"/>
        <w:jc w:val="left"/>
        <w:rPr>
          <w:rFonts w:hint="eastAsia" w:ascii="仿宋" w:hAnsi="仿宋" w:eastAsia="仿宋" w:cs="仿宋"/>
          <w:sz w:val="24"/>
          <w:szCs w:val="24"/>
        </w:rPr>
      </w:pPr>
      <w:r>
        <w:rPr>
          <w:rFonts w:hint="eastAsia" w:ascii="仿宋" w:hAnsi="仿宋" w:eastAsia="仿宋" w:cs="仿宋"/>
          <w:sz w:val="24"/>
          <w:szCs w:val="24"/>
        </w:rPr>
        <w:t>免费保修期</w:t>
      </w:r>
      <w:r>
        <w:rPr>
          <w:rFonts w:hint="eastAsia" w:ascii="仿宋" w:hAnsi="仿宋" w:eastAsia="仿宋" w:cs="仿宋"/>
          <w:sz w:val="24"/>
          <w:szCs w:val="24"/>
          <w:lang w:eastAsia="zh-CN"/>
        </w:rPr>
        <w:t>；</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应急维修时间安排：</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维修地点、地址、联系电话及联系人员：</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维修服务收费标准：</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主要零配件及易耗品价格：</w:t>
      </w:r>
    </w:p>
    <w:p>
      <w:pPr>
        <w:pStyle w:val="55"/>
        <w:widowControl w:val="0"/>
        <w:numPr>
          <w:ilvl w:val="0"/>
          <w:numId w:val="4"/>
        </w:numPr>
        <w:spacing w:after="0" w:line="500" w:lineRule="exact"/>
        <w:ind w:firstLineChars="0"/>
        <w:jc w:val="left"/>
        <w:rPr>
          <w:rFonts w:hint="eastAsia" w:ascii="仿宋" w:hAnsi="仿宋" w:eastAsia="仿宋" w:cs="仿宋"/>
          <w:sz w:val="24"/>
          <w:szCs w:val="24"/>
        </w:rPr>
      </w:pPr>
      <w:r>
        <w:rPr>
          <w:rFonts w:hint="eastAsia" w:ascii="仿宋" w:hAnsi="仿宋" w:eastAsia="仿宋" w:cs="仿宋"/>
          <w:sz w:val="24"/>
          <w:szCs w:val="24"/>
        </w:rPr>
        <w:t>制造商的技术支持。</w:t>
      </w:r>
    </w:p>
    <w:p>
      <w:pPr>
        <w:spacing w:after="0" w:line="500" w:lineRule="exact"/>
        <w:ind w:firstLine="364" w:firstLineChars="152"/>
        <w:jc w:val="left"/>
        <w:rPr>
          <w:rFonts w:hint="eastAsia" w:ascii="仿宋" w:hAnsi="仿宋" w:eastAsia="仿宋" w:cs="仿宋"/>
          <w:color w:val="000000"/>
          <w:sz w:val="24"/>
          <w:szCs w:val="24"/>
        </w:rPr>
      </w:pPr>
      <w:r>
        <w:rPr>
          <w:rFonts w:hint="eastAsia" w:ascii="仿宋" w:hAnsi="仿宋" w:eastAsia="仿宋" w:cs="仿宋"/>
          <w:color w:val="000000"/>
          <w:sz w:val="24"/>
          <w:szCs w:val="24"/>
        </w:rPr>
        <w:t>四、确定成交参与人标准及原则：</w:t>
      </w:r>
    </w:p>
    <w:p>
      <w:pPr>
        <w:pStyle w:val="55"/>
        <w:numPr>
          <w:ilvl w:val="0"/>
          <w:numId w:val="5"/>
        </w:numPr>
        <w:spacing w:after="0" w:line="500" w:lineRule="exact"/>
        <w:ind w:left="851" w:hanging="425"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本项目为自有资金而非财政性资金采购，采购人按企业内部规定的标准进行评定 。</w:t>
      </w:r>
    </w:p>
    <w:p>
      <w:pPr>
        <w:pStyle w:val="55"/>
        <w:numPr>
          <w:ilvl w:val="0"/>
          <w:numId w:val="5"/>
        </w:numPr>
        <w:spacing w:after="0" w:line="500" w:lineRule="exact"/>
        <w:ind w:left="851" w:hanging="425" w:firstLineChars="0"/>
        <w:jc w:val="left"/>
        <w:rPr>
          <w:rFonts w:hint="eastAsia" w:ascii="仿宋" w:hAnsi="仿宋" w:eastAsia="仿宋" w:cs="仿宋"/>
          <w:sz w:val="24"/>
          <w:szCs w:val="24"/>
        </w:rPr>
      </w:pPr>
      <w:r>
        <w:rPr>
          <w:rFonts w:hint="eastAsia" w:ascii="仿宋" w:hAnsi="仿宋" w:eastAsia="仿宋" w:cs="仿宋"/>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hint="eastAsia" w:ascii="仿宋" w:hAnsi="仿宋" w:eastAsia="仿宋" w:cs="仿宋"/>
          <w:sz w:val="24"/>
          <w:szCs w:val="24"/>
        </w:rPr>
      </w:pPr>
      <w:r>
        <w:rPr>
          <w:rFonts w:hint="eastAsia" w:ascii="仿宋" w:hAnsi="仿宋" w:eastAsia="仿宋" w:cs="仿宋"/>
          <w:sz w:val="24"/>
          <w:szCs w:val="24"/>
        </w:rPr>
        <w:t>最低报价不作为成交的保证。</w:t>
      </w:r>
    </w:p>
    <w:bookmarkEnd w:id="179"/>
    <w:p>
      <w:pPr>
        <w:pStyle w:val="55"/>
        <w:spacing w:after="0" w:line="500" w:lineRule="exact"/>
        <w:ind w:left="851" w:firstLine="0" w:firstLineChars="0"/>
        <w:jc w:val="left"/>
        <w:rPr>
          <w:rFonts w:ascii="仿宋" w:hAnsi="仿宋" w:eastAsia="仿宋"/>
          <w:sz w:val="24"/>
          <w:szCs w:val="24"/>
        </w:rPr>
      </w:pPr>
    </w:p>
    <w:p>
      <w:pPr>
        <w:pStyle w:val="55"/>
        <w:spacing w:after="0" w:line="500" w:lineRule="exact"/>
        <w:ind w:left="851" w:firstLine="0" w:firstLineChars="0"/>
        <w:jc w:val="left"/>
        <w:rPr>
          <w:rFonts w:ascii="仿宋" w:hAnsi="仿宋" w:eastAsia="仿宋"/>
          <w:color w:val="auto"/>
          <w:sz w:val="24"/>
          <w:szCs w:val="24"/>
        </w:rPr>
      </w:pPr>
    </w:p>
    <w:p>
      <w:pPr>
        <w:pStyle w:val="55"/>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b/>
          <w:bCs/>
          <w:sz w:val="36"/>
          <w:szCs w:val="36"/>
        </w:rPr>
        <w:t>公开询价货物一览表</w:t>
      </w:r>
      <w:bookmarkEnd w:id="45"/>
    </w:p>
    <w:tbl>
      <w:tblPr>
        <w:tblStyle w:val="24"/>
        <w:tblW w:w="9206" w:type="dxa"/>
        <w:tblInd w:w="0" w:type="dxa"/>
        <w:shd w:val="clear" w:color="auto" w:fill="auto"/>
        <w:tblLayout w:type="autofit"/>
        <w:tblCellMar>
          <w:top w:w="0" w:type="dxa"/>
          <w:left w:w="0" w:type="dxa"/>
          <w:bottom w:w="0" w:type="dxa"/>
          <w:right w:w="0" w:type="dxa"/>
        </w:tblCellMar>
      </w:tblPr>
      <w:tblGrid>
        <w:gridCol w:w="327"/>
        <w:gridCol w:w="1739"/>
        <w:gridCol w:w="645"/>
        <w:gridCol w:w="1185"/>
        <w:gridCol w:w="1185"/>
        <w:gridCol w:w="1740"/>
        <w:gridCol w:w="2385"/>
      </w:tblGrid>
      <w:tr>
        <w:tblPrEx>
          <w:shd w:val="clear" w:color="auto" w:fill="auto"/>
          <w:tblCellMar>
            <w:top w:w="0" w:type="dxa"/>
            <w:left w:w="0" w:type="dxa"/>
            <w:bottom w:w="0" w:type="dxa"/>
            <w:right w:w="0" w:type="dxa"/>
          </w:tblCellMar>
        </w:tblPrEx>
        <w:trPr>
          <w:trHeight w:val="1152" w:hRule="atLeast"/>
        </w:trPr>
        <w:tc>
          <w:tcPr>
            <w:tcW w:w="327"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39"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维修项目</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18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维修费用单价</w:t>
            </w:r>
          </w:p>
        </w:tc>
        <w:tc>
          <w:tcPr>
            <w:tcW w:w="118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维修费用总价</w:t>
            </w:r>
          </w:p>
        </w:tc>
        <w:tc>
          <w:tcPr>
            <w:tcW w:w="174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质保期</w:t>
            </w:r>
          </w:p>
        </w:tc>
        <w:tc>
          <w:tcPr>
            <w:tcW w:w="2385"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73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保养发动机</w:t>
            </w:r>
          </w:p>
        </w:tc>
        <w:tc>
          <w:tcPr>
            <w:tcW w:w="64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23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保养四轮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更换缸床垫</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rPr>
            </w:pPr>
          </w:p>
        </w:tc>
      </w:tr>
      <w:tr>
        <w:tblPrEx>
          <w:shd w:val="clear" w:color="auto" w:fill="auto"/>
          <w:tblCellMar>
            <w:top w:w="0" w:type="dxa"/>
            <w:left w:w="0" w:type="dxa"/>
            <w:bottom w:w="0" w:type="dxa"/>
            <w:right w:w="0" w:type="dxa"/>
          </w:tblCellMar>
        </w:tblPrEx>
        <w:trPr>
          <w:trHeight w:val="9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发动机四配套</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四缸机（不包含台发动机）</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发动机四配套</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六缸机（不包含台发动机）</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更换喷油器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调气门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更换水泵总成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不包含拆装水箱及中冷器</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拆装中冷器总成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后置发动机（前置加100）</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拆装水箱散热器总成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后置发动机（前置加100）</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更换油门拉线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单根</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更换档位拉线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单根</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更换离合器摩擦片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不含缓速器前置加100</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拆装离合器总泵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拆装离合器分泵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更换离合器摩擦片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包含缓速器前置加100</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更换二轴的各档齿轮及轴承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不包含吊装变速箱</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更换中间轴各档齿轮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不包含吊装变速箱</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更换变速箱后油封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不带缓速器车辆</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拆装传动轴总成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单根</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拆装后桥总成（钢板悬架）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拆装后桥总成（气囊悬架）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拆装主减速器总成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更换差速器油封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拆装气囊</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拆装前钢板弹簧总成（单边）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拆装后钢板弹簧总成（单边）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拆装前钢板弹簧单片（单边）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拆装后钢板弹簧单片（单边）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更换前桥总成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更换转向节单边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轮胎平衡（条）</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更换方向机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更换拉杆球头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调整前束</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前轮定位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包含检查倾角</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四轮定位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不包含三桥车</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第三桥定位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更换前制动鼓（单轮）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拆装制动钳（单轮）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更换前制动盘（单轮）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更换刹车片（单轮）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不包含拆装车轮，拆装制动蹄</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更换刹车分泵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单轮</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更换制动总泵（气制动）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单独卯刹车片（每副）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不包含拆装车轮</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更换起动机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更换发电机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拆装电涡流缓速器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更换缓速器定子线圈单个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不包含拆装电涡流缓速器</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更换车轮传感器单个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不包含拆装车轮</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打黄油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包括材料</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检查线路（单个部位）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各种传感器线束小修</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更换门泵修理包单个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电脑检测发动机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更换边仓门锁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更换齿轮油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检查更换一样</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更换转向助力泵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更换干燥器总称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更换调整臂</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不包含拆装车轮 </w:t>
            </w: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更换减震器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拆装火花塞</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344"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拆装飞轮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集中润滑注油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更换车身顶灯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包含打密封胶</w:t>
            </w: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电子继电器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雨刮器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10L</w:t>
            </w: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防冻液</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10L</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保养发电机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保养起动机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修补轮胎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center"/>
        <w:rPr>
          <w:rFonts w:ascii="仿宋" w:hAnsi="仿宋" w:eastAsia="仿宋"/>
          <w:b/>
          <w:sz w:val="72"/>
          <w:szCs w:val="72"/>
        </w:rPr>
      </w:pPr>
    </w:p>
    <w:p>
      <w:pPr>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color w:val="auto"/>
          <w:lang w:eastAsia="zh-CN"/>
        </w:rPr>
        <w:drawing>
          <wp:inline distT="0" distB="0" distL="114300" distR="114300">
            <wp:extent cx="672465" cy="672465"/>
            <wp:effectExtent l="0" t="0" r="0" b="0"/>
            <wp:docPr id="45" name="图片 45"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校徽透明背景"/>
                    <pic:cNvPicPr>
                      <a:picLocks noChangeAspect="1"/>
                    </pic:cNvPicPr>
                  </pic:nvPicPr>
                  <pic:blipFill>
                    <a:blip r:embed="rId13"/>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0160" b="15875"/>
            <wp:docPr id="46" name="图片 46"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校名透明背景png"/>
                    <pic:cNvPicPr>
                      <a:picLocks noChangeAspect="1"/>
                    </pic:cNvPicPr>
                  </pic:nvPicPr>
                  <pic:blipFill>
                    <a:blip r:embed="rId14"/>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2022年车辆维修</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bookmarkStart w:id="47" w:name="_Toc192996446"/>
      <w:bookmarkStart w:id="48" w:name="_Toc169332949"/>
      <w:bookmarkStart w:id="49" w:name="_Toc191789329"/>
      <w:bookmarkStart w:id="50" w:name="_Toc191783222"/>
      <w:bookmarkStart w:id="51" w:name="_Toc213208766"/>
      <w:bookmarkStart w:id="52" w:name="_Toc225669322"/>
      <w:bookmarkStart w:id="53" w:name="_Toc203355733"/>
      <w:bookmarkStart w:id="54" w:name="_Toc192996338"/>
      <w:bookmarkStart w:id="55" w:name="_Toc181436461"/>
      <w:bookmarkStart w:id="56" w:name="_Toc213756051"/>
      <w:bookmarkStart w:id="57" w:name="_Toc192663686"/>
      <w:bookmarkStart w:id="58" w:name="_Toc193160448"/>
      <w:bookmarkStart w:id="59" w:name="_Toc181436565"/>
      <w:bookmarkStart w:id="60" w:name="_Toc213755939"/>
      <w:bookmarkStart w:id="61" w:name="_Toc211917116"/>
      <w:bookmarkStart w:id="62" w:name="_Toc193165734"/>
      <w:bookmarkStart w:id="63" w:name="_Toc192664153"/>
      <w:bookmarkStart w:id="64" w:name="_Toc182372782"/>
      <w:bookmarkStart w:id="65" w:name="_Toc177985469"/>
      <w:bookmarkStart w:id="66" w:name="_Toc217891402"/>
      <w:bookmarkStart w:id="67" w:name="_Toc213755995"/>
      <w:bookmarkStart w:id="68" w:name="_Toc191802690"/>
      <w:bookmarkStart w:id="69" w:name="_Toc192663835"/>
      <w:bookmarkStart w:id="70" w:name="_Toc191803626"/>
      <w:bookmarkStart w:id="71" w:name="_Toc219800243"/>
      <w:bookmarkStart w:id="72" w:name="_Toc213755858"/>
      <w:bookmarkStart w:id="73" w:name="_Toc182805217"/>
      <w:bookmarkStart w:id="74" w:name="_Toc180302913"/>
      <w:bookmarkStart w:id="75" w:name="_Toc170798793"/>
      <w:bookmarkStart w:id="76" w:name="_Toc223146608"/>
      <w:bookmarkStart w:id="77" w:name="_Toc169332838"/>
      <w:bookmarkStart w:id="78" w:name="_Toc160880160"/>
      <w:bookmarkStart w:id="79" w:name="_Toc160880529"/>
      <w:bookmarkStart w:id="80" w:name="_Toc266870907"/>
      <w:bookmarkStart w:id="81" w:name="_Toc267059539"/>
      <w:bookmarkStart w:id="82" w:name="_Toc251613829"/>
      <w:bookmarkStart w:id="83" w:name="_Toc255975007"/>
      <w:bookmarkStart w:id="84" w:name="_Toc249325711"/>
      <w:bookmarkStart w:id="85" w:name="_Toc235438274"/>
      <w:bookmarkStart w:id="86" w:name="_Toc251586231"/>
      <w:bookmarkStart w:id="87" w:name="_Toc267060208"/>
      <w:bookmarkStart w:id="88" w:name="_Toc267059806"/>
      <w:bookmarkStart w:id="89" w:name="_Toc235437991"/>
      <w:bookmarkStart w:id="90" w:name="_Toc259692647"/>
      <w:bookmarkStart w:id="91" w:name="_Toc266868670"/>
      <w:bookmarkStart w:id="92" w:name="_Toc267059181"/>
      <w:bookmarkStart w:id="93" w:name="_Toc266870833"/>
      <w:bookmarkStart w:id="94" w:name="_Toc259520865"/>
      <w:bookmarkStart w:id="95" w:name="_Toc267060453"/>
      <w:bookmarkStart w:id="96" w:name="_Toc266868937"/>
      <w:bookmarkStart w:id="97" w:name="_Toc267060321"/>
      <w:bookmarkStart w:id="98" w:name="_Toc267059653"/>
      <w:bookmarkStart w:id="99" w:name="_Toc266870432"/>
      <w:bookmarkStart w:id="100" w:name="_Toc267059919"/>
      <w:bookmarkStart w:id="101" w:name="_Toc259692740"/>
      <w:bookmarkStart w:id="102" w:name="_Toc254790899"/>
      <w:bookmarkStart w:id="103" w:name="_Toc267060068"/>
      <w:bookmarkStart w:id="104" w:name="_Toc273178698"/>
      <w:bookmarkStart w:id="105" w:name="_Toc267059030"/>
      <w:bookmarkStart w:id="106" w:name="_Toc258401256"/>
      <w:bookmarkStart w:id="107" w:name="_Toc236021449"/>
      <w:bookmarkStart w:id="108" w:name="_Toc235438344"/>
      <w:bookmarkStart w:id="109" w:name="_Toc253066614"/>
      <w:bookmarkStart w:id="110" w:name="_Toc232302115"/>
      <w:bookmarkStart w:id="111" w:name="_Toc227058530"/>
      <w:bookmarkStart w:id="112" w:name="_Toc230071147"/>
      <w:r>
        <w:rPr>
          <w:rFonts w:hint="eastAsia" w:ascii="仿宋" w:hAnsi="仿宋" w:eastAsia="仿宋"/>
          <w:b/>
          <w:bCs/>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sz w:val="24"/>
          <w:szCs w:val="24"/>
        </w:rPr>
        <w:t>询价响应函</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lang w:val="en-US" w:eastAsia="zh-CN"/>
        </w:rPr>
        <w:t>郑州城轨交通中等专业</w:t>
      </w:r>
      <w:r>
        <w:rPr>
          <w:rFonts w:hint="eastAsia" w:ascii="仿宋" w:hAnsi="仿宋" w:eastAsia="仿宋"/>
          <w:color w:val="auto"/>
          <w:sz w:val="24"/>
          <w:szCs w:val="24"/>
        </w:rPr>
        <w:t>学校</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w:t>
      </w:r>
      <w:r>
        <w:rPr>
          <w:rFonts w:hint="eastAsia" w:ascii="仿宋" w:hAnsi="仿宋" w:eastAsia="仿宋"/>
          <w:sz w:val="24"/>
          <w:szCs w:val="24"/>
          <w:u w:val="none"/>
        </w:rPr>
        <w:t>）</w:t>
      </w:r>
      <w:r>
        <w:rPr>
          <w:rFonts w:hint="eastAsia" w:ascii="仿宋" w:hAnsi="仿宋" w:eastAsia="仿宋"/>
          <w:sz w:val="24"/>
          <w:szCs w:val="24"/>
          <w:u w:val="single"/>
          <w:lang w:val="en-US" w:eastAsia="zh-CN"/>
        </w:rPr>
        <w:t xml:space="preserve">         </w:t>
      </w:r>
      <w:r>
        <w:rPr>
          <w:rFonts w:hint="eastAsia" w:ascii="仿宋" w:hAnsi="仿宋" w:eastAsia="仿宋"/>
          <w:sz w:val="24"/>
          <w:szCs w:val="24"/>
        </w:rPr>
        <w:t>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r>
        <w:rPr>
          <w:rFonts w:hint="eastAsia" w:ascii="仿宋" w:hAnsi="仿宋" w:eastAsia="仿宋"/>
          <w:sz w:val="24"/>
          <w:szCs w:val="24"/>
          <w:lang w:eastAsia="zh-CN"/>
        </w:rPr>
        <w:t>（</w:t>
      </w:r>
      <w:r>
        <w:rPr>
          <w:rFonts w:hint="eastAsia" w:ascii="仿宋" w:hAnsi="仿宋" w:eastAsia="仿宋"/>
          <w:sz w:val="24"/>
          <w:szCs w:val="24"/>
        </w:rPr>
        <w:t>正本</w:t>
      </w:r>
      <w:r>
        <w:rPr>
          <w:rFonts w:hint="eastAsia" w:ascii="仿宋" w:hAnsi="仿宋" w:eastAsia="仿宋"/>
          <w:sz w:val="24"/>
          <w:szCs w:val="24"/>
          <w:lang w:val="en-US" w:eastAsia="zh-CN"/>
        </w:rPr>
        <w:t>壹</w:t>
      </w:r>
      <w:r>
        <w:rPr>
          <w:rFonts w:hint="eastAsia" w:ascii="仿宋" w:hAnsi="仿宋" w:eastAsia="仿宋"/>
          <w:sz w:val="24"/>
          <w:szCs w:val="24"/>
        </w:rPr>
        <w:t>份和副本</w:t>
      </w:r>
      <w:r>
        <w:rPr>
          <w:rFonts w:hint="eastAsia" w:ascii="仿宋" w:hAnsi="仿宋" w:eastAsia="仿宋"/>
          <w:sz w:val="24"/>
          <w:szCs w:val="24"/>
          <w:lang w:val="en-US" w:eastAsia="zh-CN"/>
        </w:rPr>
        <w:t>壹</w:t>
      </w:r>
      <w:r>
        <w:rPr>
          <w:rFonts w:hint="eastAsia" w:ascii="仿宋" w:hAnsi="仿宋" w:eastAsia="仿宋"/>
          <w:sz w:val="24"/>
          <w:szCs w:val="24"/>
        </w:rPr>
        <w:t>份</w:t>
      </w:r>
      <w:r>
        <w:rPr>
          <w:rFonts w:hint="eastAsia" w:ascii="仿宋" w:hAnsi="仿宋" w:eastAsia="仿宋"/>
          <w:sz w:val="24"/>
          <w:szCs w:val="24"/>
          <w:lang w:eastAsia="zh-CN"/>
        </w:rPr>
        <w:t>）</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hint="eastAsia"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hint="eastAsia" w:ascii="仿宋" w:hAnsi="仿宋" w:eastAsia="仿宋"/>
          <w:sz w:val="24"/>
          <w:szCs w:val="24"/>
        </w:rPr>
      </w:pPr>
      <w:r>
        <w:rPr>
          <w:rFonts w:hint="eastAsia" w:ascii="仿宋" w:hAnsi="仿宋" w:eastAsia="仿宋"/>
          <w:sz w:val="24"/>
          <w:szCs w:val="24"/>
        </w:rPr>
        <w:t>(3) 质保期和售后服务承诺书</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hint="eastAsia" w:ascii="仿宋" w:hAnsi="仿宋" w:eastAsia="仿宋"/>
          <w:b/>
          <w:bCs/>
          <w:sz w:val="24"/>
          <w:szCs w:val="24"/>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spacing w:after="0" w:line="480" w:lineRule="exact"/>
        <w:ind w:left="284" w:leftChars="129" w:firstLine="242" w:firstLineChars="101"/>
        <w:rPr>
          <w:rFonts w:hint="default" w:eastAsia="仿宋"/>
          <w:lang w:val="en-US" w:eastAsia="zh-CN"/>
        </w:rPr>
      </w:pPr>
      <w:r>
        <w:rPr>
          <w:rFonts w:hint="eastAsia" w:ascii="仿宋" w:hAnsi="仿宋" w:eastAsia="仿宋" w:cstheme="minorBidi"/>
          <w:sz w:val="24"/>
          <w:szCs w:val="24"/>
          <w:lang w:val="en-US" w:eastAsia="zh-CN" w:bidi="ar-SA"/>
        </w:rPr>
        <w:t>邮   箱：</w:t>
      </w:r>
      <w:r>
        <w:rPr>
          <w:rFonts w:hint="eastAsia" w:ascii="仿宋" w:hAnsi="仿宋" w:eastAsia="仿宋"/>
          <w:b/>
          <w:bCs/>
          <w:sz w:val="24"/>
          <w:szCs w:val="24"/>
          <w:u w:val="single"/>
          <w:lang w:val="en-US" w:eastAsia="zh-CN"/>
        </w:rPr>
        <w:t xml:space="preserve">                   </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9206" w:type="dxa"/>
        <w:tblInd w:w="0" w:type="dxa"/>
        <w:shd w:val="clear" w:color="auto" w:fill="auto"/>
        <w:tblLayout w:type="autofit"/>
        <w:tblCellMar>
          <w:top w:w="0" w:type="dxa"/>
          <w:left w:w="0" w:type="dxa"/>
          <w:bottom w:w="0" w:type="dxa"/>
          <w:right w:w="0" w:type="dxa"/>
        </w:tblCellMar>
      </w:tblPr>
      <w:tblGrid>
        <w:gridCol w:w="327"/>
        <w:gridCol w:w="1739"/>
        <w:gridCol w:w="645"/>
        <w:gridCol w:w="1185"/>
        <w:gridCol w:w="1185"/>
        <w:gridCol w:w="1740"/>
        <w:gridCol w:w="2385"/>
      </w:tblGrid>
      <w:tr>
        <w:tblPrEx>
          <w:shd w:val="clear" w:color="auto" w:fill="auto"/>
          <w:tblCellMar>
            <w:top w:w="0" w:type="dxa"/>
            <w:left w:w="0" w:type="dxa"/>
            <w:bottom w:w="0" w:type="dxa"/>
            <w:right w:w="0" w:type="dxa"/>
          </w:tblCellMar>
        </w:tblPrEx>
        <w:trPr>
          <w:trHeight w:val="1152" w:hRule="atLeast"/>
        </w:trPr>
        <w:tc>
          <w:tcPr>
            <w:tcW w:w="327"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39"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维修项目</w:t>
            </w:r>
          </w:p>
        </w:tc>
        <w:tc>
          <w:tcPr>
            <w:tcW w:w="64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18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维修费用单价</w:t>
            </w:r>
          </w:p>
        </w:tc>
        <w:tc>
          <w:tcPr>
            <w:tcW w:w="118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维修费用总价</w:t>
            </w:r>
          </w:p>
        </w:tc>
        <w:tc>
          <w:tcPr>
            <w:tcW w:w="174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质保期</w:t>
            </w:r>
          </w:p>
        </w:tc>
        <w:tc>
          <w:tcPr>
            <w:tcW w:w="2385"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73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保养发动机</w:t>
            </w:r>
          </w:p>
        </w:tc>
        <w:tc>
          <w:tcPr>
            <w:tcW w:w="64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23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保养四轮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更换缸床垫</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rPr>
            </w:pP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发动机四配套</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四缸机（不包含台发动机）</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发动机四配套</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六缸机（不包含台发动机）</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更换喷油器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调气门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更换水泵总成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不包含拆装水箱及中冷器</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拆装中冷器总成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后置发动机（前置加100）</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拆装水箱散热器总成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后置发动机（前置加100）</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更换油门拉线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单根</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更换档位拉线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单根</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更换离合器摩擦片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不含缓速器前置加100</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拆装离合器总泵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拆装离合器分泵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更换离合器摩擦片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包含缓速器前置加100</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更换二轴的各档齿轮及轴承</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不包含吊装变速箱</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更换中间轴各档齿轮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不包含吊装变速箱</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更换变速箱后油封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不带缓速器车辆</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拆装传动轴总成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单根</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拆装后桥总成（钢板悬架）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拆装后桥总成（气囊悬架）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拆装主减速器总成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更换差速器油封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拆装气囊</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拆装前钢板弹簧总成（单边）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拆装后钢板弹簧总成（单边）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拆装前钢板弹簧单片（单边）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拆装后钢板弹簧单片（单边）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更换前桥总成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更换转向节单边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轮胎平衡（条）</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更换方向机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更换拉杆球头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调整前束</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前轮定位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包含检查倾角</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四轮定位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不包含三桥车</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第三桥定位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更换前制动鼓（单轮）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拆装制动钳（单轮）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更换前制动盘（单轮）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更换刹车片（单轮）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不包含拆装车轮，拆装制动蹄</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更换刹车分泵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单轮</w:t>
            </w:r>
          </w:p>
        </w:tc>
      </w:tr>
      <w:tr>
        <w:tblPrEx>
          <w:shd w:val="clear" w:color="auto" w:fill="auto"/>
          <w:tblCellMar>
            <w:top w:w="0" w:type="dxa"/>
            <w:left w:w="0" w:type="dxa"/>
            <w:bottom w:w="0" w:type="dxa"/>
            <w:right w:w="0" w:type="dxa"/>
          </w:tblCellMar>
        </w:tblPrEx>
        <w:trPr>
          <w:trHeight w:val="48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更换制动总泵（气制动）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单独卯刹车片（每副）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不包含拆装车轮</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更换起动机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更换发电机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拆装电涡流缓速器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更换缓速器定子线圈单个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不包含拆装电涡流缓速器</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更换车轮传感器单个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不包含拆装车轮</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打黄油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包括材料</w:t>
            </w:r>
          </w:p>
        </w:tc>
      </w:tr>
      <w:tr>
        <w:tblPrEx>
          <w:shd w:val="clear" w:color="auto" w:fill="auto"/>
          <w:tblCellMar>
            <w:top w:w="0" w:type="dxa"/>
            <w:left w:w="0" w:type="dxa"/>
            <w:bottom w:w="0" w:type="dxa"/>
            <w:right w:w="0" w:type="dxa"/>
          </w:tblCellMar>
        </w:tblPrEx>
        <w:trPr>
          <w:trHeight w:val="576"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检查线路（单个部位）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各种传感器线束小修</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更换门泵修理包单个</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电脑检测发动机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更换边仓门锁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更换齿轮油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检查更换一样</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更换转向助力泵</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更换干燥器总称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更换调整臂</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不包含拆装车轮 </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更换减震器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拆装火花塞</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单个</w:t>
            </w:r>
          </w:p>
        </w:tc>
      </w:tr>
      <w:tr>
        <w:tblPrEx>
          <w:shd w:val="clear" w:color="auto" w:fill="auto"/>
          <w:tblCellMar>
            <w:top w:w="0" w:type="dxa"/>
            <w:left w:w="0" w:type="dxa"/>
            <w:bottom w:w="0" w:type="dxa"/>
            <w:right w:w="0" w:type="dxa"/>
          </w:tblCellMar>
        </w:tblPrEx>
        <w:trPr>
          <w:trHeight w:val="344"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拆装飞轮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集中润滑注油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64</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更换车身顶灯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包含打密封胶</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电子继电器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66</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67</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雨刮器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68</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10L</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69</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防冻液</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10L</w:t>
            </w: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70</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保养发电机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71</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保养起动机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72</w:t>
            </w: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修补轮胎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160880534"/>
      <w:bookmarkStart w:id="114" w:name="_Toc180302918"/>
      <w:bookmarkStart w:id="115" w:name="_Toc169332843"/>
      <w:bookmarkStart w:id="116" w:name="_Toc177985474"/>
      <w:bookmarkStart w:id="117" w:name="_Toc181436570"/>
      <w:bookmarkStart w:id="118" w:name="_Toc182372787"/>
      <w:bookmarkStart w:id="119" w:name="_Toc251613839"/>
      <w:bookmarkStart w:id="120" w:name="_Toc170798798"/>
      <w:bookmarkStart w:id="121" w:name="_Toc169332954"/>
      <w:bookmarkStart w:id="122" w:name="_Toc181436466"/>
      <w:bookmarkStart w:id="123" w:name="_Toc182805222"/>
      <w:bookmarkStart w:id="124" w:name="_Toc191783227"/>
      <w:bookmarkStart w:id="125" w:name="_Toc191789334"/>
      <w:bookmarkStart w:id="126" w:name="_Toc191802695"/>
      <w:bookmarkStart w:id="127" w:name="_Toc213756001"/>
      <w:bookmarkStart w:id="128" w:name="_Toc213755864"/>
      <w:bookmarkStart w:id="129" w:name="_Toc193165739"/>
      <w:bookmarkStart w:id="130" w:name="_Toc225669328"/>
      <w:bookmarkStart w:id="131" w:name="_Toc253066624"/>
      <w:bookmarkStart w:id="132" w:name="_Toc213755945"/>
      <w:bookmarkStart w:id="133" w:name="_Toc232302122"/>
      <w:bookmarkStart w:id="134" w:name="_Toc227058536"/>
      <w:bookmarkStart w:id="135" w:name="_Toc235437998"/>
      <w:bookmarkStart w:id="136" w:name="_Toc217891408"/>
      <w:bookmarkStart w:id="137" w:name="_Toc219800249"/>
      <w:bookmarkStart w:id="138" w:name="_Toc235438352"/>
      <w:bookmarkStart w:id="139" w:name="_Toc236021457"/>
      <w:bookmarkStart w:id="140" w:name="_Toc192663691"/>
      <w:bookmarkStart w:id="141" w:name="_Toc213208771"/>
      <w:bookmarkStart w:id="142" w:name="_Toc192663840"/>
      <w:bookmarkStart w:id="143" w:name="_Toc251586241"/>
      <w:bookmarkStart w:id="144" w:name="_Toc230071153"/>
      <w:bookmarkStart w:id="145" w:name="_Toc235438281"/>
      <w:bookmarkStart w:id="146" w:name="_Toc249325720"/>
      <w:bookmarkStart w:id="147" w:name="_Toc254790909"/>
      <w:bookmarkStart w:id="148" w:name="_Toc192664158"/>
      <w:bookmarkStart w:id="149" w:name="_Toc211917121"/>
      <w:bookmarkStart w:id="150" w:name="_Toc160880165"/>
      <w:bookmarkStart w:id="151" w:name="_Toc255975016"/>
      <w:bookmarkStart w:id="152" w:name="_Toc192996451"/>
      <w:bookmarkStart w:id="153" w:name="_Toc193160453"/>
      <w:bookmarkStart w:id="154" w:name="_Toc203355738"/>
      <w:bookmarkStart w:id="155" w:name="_Toc191803631"/>
      <w:bookmarkStart w:id="156" w:name="_Toc192996343"/>
      <w:bookmarkStart w:id="157" w:name="_Toc213756057"/>
      <w:bookmarkStart w:id="158" w:name="_Toc223146614"/>
      <w:bookmarkStart w:id="159" w:name="_Toc267059035"/>
      <w:bookmarkStart w:id="160" w:name="_Toc266870839"/>
      <w:bookmarkStart w:id="161" w:name="_Toc259692749"/>
      <w:bookmarkStart w:id="162" w:name="_Toc267059658"/>
      <w:bookmarkStart w:id="163" w:name="_Toc266868679"/>
      <w:bookmarkStart w:id="164" w:name="_Toc267059811"/>
      <w:bookmarkStart w:id="165" w:name="_Toc266868943"/>
      <w:bookmarkStart w:id="166" w:name="_Toc266870441"/>
      <w:bookmarkStart w:id="167" w:name="_Toc267060326"/>
      <w:bookmarkStart w:id="168" w:name="_Toc273178703"/>
      <w:bookmarkStart w:id="169" w:name="_Toc267060216"/>
      <w:bookmarkStart w:id="170" w:name="_Toc266870916"/>
      <w:bookmarkStart w:id="171" w:name="_Toc267059186"/>
      <w:bookmarkStart w:id="172" w:name="_Toc267060076"/>
      <w:bookmarkStart w:id="173" w:name="_Toc267060461"/>
      <w:bookmarkStart w:id="174" w:name="_Toc259520874"/>
      <w:bookmarkStart w:id="175" w:name="_Toc267059924"/>
      <w:bookmarkStart w:id="176" w:name="_Toc258401265"/>
      <w:bookmarkStart w:id="177" w:name="_Toc267059544"/>
      <w:bookmarkStart w:id="178" w:name="_Toc259692656"/>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4"/>
          <w:szCs w:val="24"/>
        </w:rPr>
        <w:t>参与人资质材料</w:t>
      </w:r>
    </w:p>
    <w:p>
      <w:pPr>
        <w:pStyle w:val="40"/>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p>
      <w:pPr>
        <w:jc w:val="center"/>
        <w:outlineLvl w:val="1"/>
      </w:pPr>
      <w:r>
        <w:rPr>
          <w:rFonts w:hint="eastAsia" w:ascii="仿宋" w:hAnsi="仿宋" w:eastAsia="仿宋"/>
          <w:b/>
          <w:bCs/>
          <w:sz w:val="24"/>
          <w:szCs w:val="24"/>
          <w:lang w:val="en-US" w:eastAsia="zh-CN"/>
        </w:rPr>
        <w:t>4、资格审查表</w:t>
      </w:r>
    </w:p>
    <w:tbl>
      <w:tblPr>
        <w:tblStyle w:val="24"/>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级别：                          </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pStyle w:val="2"/>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737"/>
        <w:tab w:val="left" w:pos="5248"/>
        <w:tab w:val="left" w:pos="7558"/>
      </w:tabs>
      <w:jc w:val="center"/>
    </w:pPr>
    <w:r>
      <w:rPr>
        <w:rFonts w:hint="eastAsia"/>
        <w:lang w:val="en-US" w:eastAsia="zh-CN"/>
      </w:rPr>
      <w:drawing>
        <wp:inline distT="0" distB="0" distL="114300" distR="114300">
          <wp:extent cx="3159760" cy="413385"/>
          <wp:effectExtent l="0" t="0" r="0" b="5080"/>
          <wp:docPr id="1" name="图片 1"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737"/>
        <w:tab w:val="left" w:pos="5248"/>
        <w:tab w:val="left" w:pos="7558"/>
      </w:tabs>
      <w:jc w:val="center"/>
    </w:pPr>
    <w:r>
      <w:rPr>
        <w:rFonts w:hint="eastAsia"/>
        <w:lang w:val="en-US" w:eastAsia="zh-CN"/>
      </w:rPr>
      <w:drawing>
        <wp:inline distT="0" distB="0" distL="114300" distR="114300">
          <wp:extent cx="3159760" cy="413385"/>
          <wp:effectExtent l="0" t="0" r="0" b="5080"/>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CD10B0"/>
    <w:rsid w:val="07480C4B"/>
    <w:rsid w:val="28425380"/>
    <w:rsid w:val="353A5F8C"/>
    <w:rsid w:val="363D2442"/>
    <w:rsid w:val="43DA7914"/>
    <w:rsid w:val="45E91020"/>
    <w:rsid w:val="47E80418"/>
    <w:rsid w:val="51CC1F28"/>
    <w:rsid w:val="56F670B0"/>
    <w:rsid w:val="57D80427"/>
    <w:rsid w:val="58176E3F"/>
    <w:rsid w:val="586966F6"/>
    <w:rsid w:val="607D036C"/>
    <w:rsid w:val="64131656"/>
    <w:rsid w:val="6D9E7401"/>
    <w:rsid w:val="7D59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4">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5">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6">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7">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8">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9">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10">
    <w:name w:val="heading 7"/>
    <w:basedOn w:val="1"/>
    <w:next w:val="1"/>
    <w:link w:val="35"/>
    <w:semiHidden/>
    <w:unhideWhenUsed/>
    <w:qFormat/>
    <w:uiPriority w:val="9"/>
    <w:pPr>
      <w:keepNext/>
      <w:keepLines/>
      <w:spacing w:before="120" w:after="0"/>
      <w:outlineLvl w:val="6"/>
    </w:pPr>
    <w:rPr>
      <w:i/>
      <w:iCs/>
    </w:rPr>
  </w:style>
  <w:style w:type="paragraph" w:styleId="11">
    <w:name w:val="heading 8"/>
    <w:basedOn w:val="1"/>
    <w:next w:val="1"/>
    <w:link w:val="36"/>
    <w:semiHidden/>
    <w:unhideWhenUsed/>
    <w:qFormat/>
    <w:uiPriority w:val="9"/>
    <w:pPr>
      <w:keepNext/>
      <w:keepLines/>
      <w:spacing w:before="120" w:after="0"/>
      <w:outlineLvl w:val="7"/>
    </w:pPr>
    <w:rPr>
      <w:b/>
      <w:bCs/>
    </w:rPr>
  </w:style>
  <w:style w:type="paragraph" w:styleId="12">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after="120" w:line="240" w:lineRule="auto"/>
      <w:ind w:firstLine="420" w:firstLineChars="100"/>
    </w:pPr>
    <w:rPr>
      <w:sz w:val="21"/>
    </w:rPr>
  </w:style>
  <w:style w:type="paragraph" w:styleId="3">
    <w:name w:val="Body Text"/>
    <w:basedOn w:val="1"/>
    <w:link w:val="59"/>
    <w:semiHidden/>
    <w:unhideWhenUsed/>
    <w:qFormat/>
    <w:uiPriority w:val="99"/>
    <w:pPr>
      <w:spacing w:after="120"/>
    </w:pPr>
  </w:style>
  <w:style w:type="paragraph" w:styleId="13">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4">
    <w:name w:val="caption"/>
    <w:basedOn w:val="1"/>
    <w:next w:val="1"/>
    <w:semiHidden/>
    <w:unhideWhenUsed/>
    <w:qFormat/>
    <w:uiPriority w:val="35"/>
    <w:rPr>
      <w:b/>
      <w:bCs/>
      <w:sz w:val="18"/>
      <w:szCs w:val="18"/>
    </w:r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4"/>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5"/>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6"/>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7"/>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8"/>
    <w:semiHidden/>
    <w:qFormat/>
    <w:uiPriority w:val="9"/>
    <w:rPr>
      <w:rFonts w:asciiTheme="majorHAnsi" w:hAnsiTheme="majorHAnsi" w:eastAsiaTheme="majorEastAsia" w:cstheme="majorBidi"/>
      <w:b/>
      <w:bCs/>
    </w:rPr>
  </w:style>
  <w:style w:type="character" w:customStyle="1" w:styleId="34">
    <w:name w:val="标题 6 字符"/>
    <w:basedOn w:val="25"/>
    <w:link w:val="9"/>
    <w:semiHidden/>
    <w:qFormat/>
    <w:uiPriority w:val="9"/>
    <w:rPr>
      <w:rFonts w:asciiTheme="majorHAnsi" w:hAnsiTheme="majorHAnsi" w:eastAsiaTheme="majorEastAsia" w:cstheme="majorBidi"/>
      <w:b/>
      <w:bCs/>
      <w:i/>
      <w:iCs/>
    </w:rPr>
  </w:style>
  <w:style w:type="character" w:customStyle="1" w:styleId="35">
    <w:name w:val="标题 7 字符"/>
    <w:basedOn w:val="25"/>
    <w:link w:val="10"/>
    <w:semiHidden/>
    <w:qFormat/>
    <w:uiPriority w:val="9"/>
    <w:rPr>
      <w:i/>
      <w:iCs/>
    </w:rPr>
  </w:style>
  <w:style w:type="character" w:customStyle="1" w:styleId="36">
    <w:name w:val="标题 8 字符"/>
    <w:basedOn w:val="25"/>
    <w:link w:val="11"/>
    <w:semiHidden/>
    <w:qFormat/>
    <w:uiPriority w:val="9"/>
    <w:rPr>
      <w:b/>
      <w:bCs/>
    </w:rPr>
  </w:style>
  <w:style w:type="character" w:customStyle="1" w:styleId="37">
    <w:name w:val="标题 9 字符"/>
    <w:basedOn w:val="25"/>
    <w:link w:val="12"/>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4"/>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418</Words>
  <Characters>2385</Characters>
  <Lines>19</Lines>
  <Paragraphs>5</Paragraphs>
  <TotalTime>1</TotalTime>
  <ScaleCrop>false</ScaleCrop>
  <LinksUpToDate>false</LinksUpToDate>
  <CharactersWithSpaces>2798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菓il雅琼</cp:lastModifiedBy>
  <cp:lastPrinted>2022-04-07T00:47:00Z</cp:lastPrinted>
  <dcterms:modified xsi:type="dcterms:W3CDTF">2022-05-26T13:32:57Z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1110E314CDAF47F387DB38F51EB22C5C</vt:lpwstr>
  </property>
</Properties>
</file>