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325" w:name="_GoBack"/>
      <w:bookmarkEnd w:id="325"/>
      <w:r>
        <w:rPr>
          <w:rFonts w:hint="eastAsia" w:ascii="仿宋" w:hAnsi="仿宋" w:eastAsia="仿宋"/>
          <w:b/>
          <w:sz w:val="72"/>
          <w:szCs w:val="72"/>
        </w:rPr>
        <w:drawing>
          <wp:anchor distT="0" distB="0" distL="114300" distR="114300" simplePos="0" relativeHeight="251659264"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color w:val="000000" w:themeColor="text1"/>
          <w:sz w:val="32"/>
          <w:szCs w:val="32"/>
          <w14:textFill>
            <w14:solidFill>
              <w14:schemeClr w14:val="tx1"/>
            </w14:solidFill>
          </w14:textFill>
        </w:rPr>
        <w:t>图文信息中心一楼阅览室办公家具</w:t>
      </w:r>
      <w:r>
        <w:rPr>
          <w:rFonts w:hint="eastAsia" w:ascii="仿宋" w:hAnsi="仿宋" w:eastAsia="仿宋"/>
          <w:b/>
          <w:sz w:val="32"/>
          <w:szCs w:val="32"/>
        </w:rPr>
        <w:t>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0880485"/>
      <w:bookmarkStart w:id="2" w:name="_Toc160880118"/>
      <w:bookmarkStart w:id="3" w:name="_Toc169332792"/>
      <w:r>
        <w:rPr>
          <w:rFonts w:hint="eastAsia" w:ascii="仿宋" w:hAnsi="仿宋" w:eastAsia="仿宋"/>
          <w:b/>
          <w:color w:val="000000" w:themeColor="text1"/>
          <w:sz w:val="30"/>
          <w:szCs w:val="30"/>
          <w14:textFill>
            <w14:solidFill>
              <w14:schemeClr w14:val="tx1"/>
            </w14:solidFill>
          </w14:textFill>
        </w:rPr>
        <w:t>JK202</w:t>
      </w:r>
      <w:r>
        <w:rPr>
          <w:rFonts w:ascii="仿宋" w:hAnsi="仿宋" w:eastAsia="仿宋"/>
          <w:b/>
          <w:color w:val="000000" w:themeColor="text1"/>
          <w:sz w:val="30"/>
          <w:szCs w:val="30"/>
          <w14:textFill>
            <w14:solidFill>
              <w14:schemeClr w14:val="tx1"/>
            </w14:solidFill>
          </w14:textFill>
        </w:rPr>
        <w:t>1</w:t>
      </w:r>
      <w:r>
        <w:rPr>
          <w:rFonts w:hint="eastAsia" w:ascii="仿宋" w:hAnsi="仿宋" w:eastAsia="仿宋"/>
          <w:b/>
          <w:color w:val="000000" w:themeColor="text1"/>
          <w:sz w:val="30"/>
          <w:szCs w:val="30"/>
          <w14:textFill>
            <w14:solidFill>
              <w14:schemeClr w14:val="tx1"/>
            </w14:solidFill>
          </w14:textFill>
        </w:rPr>
        <w:t>1201001</w:t>
      </w:r>
    </w:p>
    <w:p>
      <w:pPr>
        <w:spacing w:line="500" w:lineRule="exact"/>
        <w:ind w:firstLine="1943" w:firstLineChars="645"/>
        <w:rPr>
          <w:rFonts w:ascii="仿宋" w:hAnsi="仿宋" w:eastAsia="仿宋"/>
          <w:b/>
          <w:sz w:val="32"/>
          <w:szCs w:val="32"/>
        </w:rPr>
      </w:pP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160880487"/>
      <w:bookmarkStart w:id="5" w:name="_Toc267060162"/>
      <w:bookmarkStart w:id="6" w:name="_Toc249325665"/>
      <w:bookmarkStart w:id="7" w:name="_Toc259692693"/>
      <w:bookmarkStart w:id="8" w:name="_Toc211937196"/>
      <w:bookmarkStart w:id="9" w:name="_Toc212454753"/>
      <w:bookmarkStart w:id="10" w:name="_Toc267059010"/>
      <w:bookmarkStart w:id="11" w:name="_Toc266868624"/>
      <w:bookmarkStart w:id="12" w:name="_Toc225669277"/>
      <w:bookmarkStart w:id="13" w:name="_Toc273178686"/>
      <w:bookmarkStart w:id="14" w:name="_Toc266870386"/>
      <w:bookmarkStart w:id="15" w:name="_Toc259520819"/>
      <w:bookmarkStart w:id="16" w:name="_Toc267059633"/>
      <w:bookmarkStart w:id="17" w:name="_Toc236021402"/>
      <w:bookmarkStart w:id="18" w:name="_Toc259692600"/>
      <w:bookmarkStart w:id="19" w:name="_Toc212530253"/>
      <w:bookmarkStart w:id="20" w:name="_Toc177985424"/>
      <w:bookmarkStart w:id="21" w:name="_Toc251613780"/>
      <w:bookmarkStart w:id="22" w:name="_Toc169332904"/>
      <w:bookmarkStart w:id="23" w:name="_Toc219800200"/>
      <w:bookmarkStart w:id="24" w:name="_Toc267059899"/>
      <w:bookmarkStart w:id="25" w:name="_Toc235438227"/>
      <w:bookmarkStart w:id="26" w:name="_Toc254790852"/>
      <w:bookmarkStart w:id="27" w:name="_Toc255974963"/>
      <w:bookmarkStart w:id="28" w:name="_Toc267059161"/>
      <w:bookmarkStart w:id="29" w:name="_Toc267060022"/>
      <w:bookmarkStart w:id="30" w:name="_Toc170798743"/>
      <w:bookmarkStart w:id="31" w:name="_Toc207014580"/>
      <w:bookmarkStart w:id="32" w:name="_Toc253066567"/>
      <w:bookmarkStart w:id="33" w:name="_Toc267060407"/>
      <w:bookmarkStart w:id="34" w:name="_Toc266870861"/>
      <w:bookmarkStart w:id="35" w:name="_Toc235438297"/>
      <w:bookmarkStart w:id="36" w:name="_Toc235437942"/>
      <w:bookmarkStart w:id="37" w:name="_Toc227058483"/>
      <w:bookmarkStart w:id="38" w:name="_Toc169332794"/>
      <w:bookmarkStart w:id="39" w:name="_Toc267059519"/>
      <w:bookmarkStart w:id="40" w:name="_Toc267059786"/>
      <w:bookmarkStart w:id="41" w:name="_Toc212456146"/>
      <w:bookmarkStart w:id="42" w:name="_Toc266868924"/>
      <w:bookmarkStart w:id="43" w:name="_Toc223146565"/>
      <w:bookmarkStart w:id="44" w:name="_Toc258401210"/>
      <w:bookmarkStart w:id="45" w:name="_Toc217891359"/>
      <w:bookmarkStart w:id="46" w:name="_Toc216241307"/>
      <w:bookmarkStart w:id="47" w:name="_Toc251586187"/>
      <w:bookmarkStart w:id="48" w:name="_Toc212526081"/>
      <w:r>
        <w:rPr>
          <w:rFonts w:hint="eastAsia" w:ascii="仿宋" w:hAnsi="仿宋" w:eastAsia="仿宋"/>
          <w:b/>
          <w:color w:val="000000" w:themeColor="text1"/>
          <w:sz w:val="32"/>
          <w:szCs w:val="32"/>
          <w14:textFill>
            <w14:solidFill>
              <w14:schemeClr w14:val="tx1"/>
            </w14:solidFill>
          </w14:textFill>
        </w:rPr>
        <w:t>图文信息中心一楼阅览室办公家具采购项</w:t>
      </w:r>
      <w:r>
        <w:rPr>
          <w:rFonts w:hint="eastAsia" w:ascii="仿宋" w:hAnsi="仿宋" w:eastAsia="仿宋"/>
          <w:b/>
          <w:sz w:val="32"/>
          <w:szCs w:val="32"/>
        </w:rPr>
        <w:t>目</w:t>
      </w:r>
    </w:p>
    <w:p>
      <w:pPr>
        <w:spacing w:line="500" w:lineRule="exact"/>
        <w:ind w:firstLine="1943" w:firstLineChars="645"/>
        <w:rPr>
          <w:rFonts w:ascii="仿宋" w:hAnsi="仿宋" w:eastAsia="仿宋"/>
          <w:b/>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702" w:firstLineChars="251"/>
        <w:jc w:val="left"/>
        <w:rPr>
          <w:rFonts w:ascii="仿宋" w:hAnsi="仿宋" w:eastAsia="仿宋" w:cs="Times New Roman"/>
          <w:color w:val="000000" w:themeColor="text1"/>
          <w:sz w:val="28"/>
          <w:szCs w:val="28"/>
          <w14:textFill>
            <w14:solidFill>
              <w14:schemeClr w14:val="tx1"/>
            </w14:solidFill>
          </w14:textFill>
        </w:rPr>
      </w:pPr>
      <w:bookmarkStart w:id="49" w:name="_Hlk10840310"/>
      <w:r>
        <w:rPr>
          <w:rFonts w:hint="eastAsia" w:ascii="仿宋" w:hAnsi="仿宋" w:eastAsia="仿宋"/>
          <w:color w:val="000000" w:themeColor="text1"/>
          <w:sz w:val="28"/>
          <w:szCs w:val="28"/>
          <w14:textFill>
            <w14:solidFill>
              <w14:schemeClr w14:val="tx1"/>
            </w14:solidFill>
          </w14:textFill>
        </w:rPr>
        <w:t>按照公开、公平、公正的原则，经学校研究决定，将江西科技学院</w:t>
      </w:r>
      <w:r>
        <w:rPr>
          <w:rFonts w:hint="eastAsia" w:ascii="仿宋" w:hAnsi="仿宋" w:eastAsia="仿宋"/>
          <w:b/>
          <w:color w:val="000000" w:themeColor="text1"/>
          <w:sz w:val="28"/>
          <w:szCs w:val="28"/>
          <w14:textFill>
            <w14:solidFill>
              <w14:schemeClr w14:val="tx1"/>
            </w14:solidFill>
          </w14:textFill>
        </w:rPr>
        <w:t>图文信息中心一楼阅览室办公家具采购</w:t>
      </w:r>
      <w:r>
        <w:rPr>
          <w:rFonts w:hint="eastAsia" w:ascii="仿宋" w:hAnsi="仿宋" w:eastAsia="仿宋"/>
          <w:color w:val="000000" w:themeColor="text1"/>
          <w:sz w:val="28"/>
          <w:szCs w:val="28"/>
          <w14:textFill>
            <w14:solidFill>
              <w14:schemeClr w14:val="tx1"/>
            </w14:solidFill>
          </w14:textFill>
        </w:rPr>
        <w:t>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项目编号：JK202</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1201001</w:t>
      </w:r>
    </w:p>
    <w:p>
      <w:pPr>
        <w:widowControl w:val="0"/>
        <w:spacing w:after="0" w:line="500" w:lineRule="exact"/>
        <w:ind w:left="83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项目名称：江西科技学院</w:t>
      </w:r>
      <w:r>
        <w:rPr>
          <w:rFonts w:hint="eastAsia" w:ascii="仿宋" w:hAnsi="仿宋" w:eastAsia="仿宋"/>
          <w:b/>
          <w:color w:val="000000" w:themeColor="text1"/>
          <w:sz w:val="28"/>
          <w:szCs w:val="28"/>
          <w14:textFill>
            <w14:solidFill>
              <w14:schemeClr w14:val="tx1"/>
            </w14:solidFill>
          </w14:textFill>
        </w:rPr>
        <w:t>图文信息中心一楼阅览室办公家具采购</w:t>
      </w:r>
      <w:r>
        <w:rPr>
          <w:rFonts w:hint="eastAsia" w:ascii="仿宋" w:hAnsi="仿宋" w:eastAsia="仿宋"/>
          <w:color w:val="000000" w:themeColor="text1"/>
          <w:sz w:val="28"/>
          <w:szCs w:val="28"/>
          <w14:textFill>
            <w14:solidFill>
              <w14:schemeClr w14:val="tx1"/>
            </w14:solidFill>
          </w14:textFill>
        </w:rPr>
        <w:t>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数量及主要技术要求:详见附件。</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供家具和</w:t>
      </w:r>
      <w:r>
        <w:rPr>
          <w:rFonts w:ascii="仿宋" w:hAnsi="仿宋" w:eastAsia="仿宋"/>
          <w:color w:val="000000" w:themeColor="text1"/>
          <w:sz w:val="28"/>
          <w:szCs w:val="28"/>
          <w14:textFill>
            <w14:solidFill>
              <w14:schemeClr w14:val="tx1"/>
            </w14:solidFill>
          </w14:textFill>
        </w:rPr>
        <w:t>服务的资格</w:t>
      </w:r>
      <w:r>
        <w:rPr>
          <w:rFonts w:hint="eastAsia" w:ascii="仿宋" w:hAnsi="仿宋" w:eastAsia="仿宋"/>
          <w:color w:val="000000" w:themeColor="text1"/>
          <w:sz w:val="28"/>
          <w:szCs w:val="28"/>
          <w14:textFill>
            <w14:solidFill>
              <w14:schemeClr w14:val="tx1"/>
            </w14:solidFill>
          </w14:textFill>
        </w:rPr>
        <w:t>及</w:t>
      </w:r>
      <w:r>
        <w:rPr>
          <w:rFonts w:ascii="仿宋" w:hAnsi="仿宋" w:eastAsia="仿宋"/>
          <w:color w:val="000000" w:themeColor="text1"/>
          <w:sz w:val="28"/>
          <w:szCs w:val="28"/>
          <w14:textFill>
            <w14:solidFill>
              <w14:schemeClr w14:val="tx1"/>
            </w14:solidFill>
          </w14:textFill>
        </w:rPr>
        <w:t>能力</w:t>
      </w:r>
      <w:r>
        <w:rPr>
          <w:rFonts w:hint="eastAsia" w:ascii="仿宋" w:hAnsi="仿宋" w:eastAsia="仿宋"/>
          <w:color w:val="000000" w:themeColor="text1"/>
          <w:sz w:val="28"/>
          <w:szCs w:val="28"/>
          <w14:textFill>
            <w14:solidFill>
              <w14:schemeClr w14:val="tx1"/>
            </w14:solidFill>
          </w14:textFill>
        </w:rPr>
        <w:t>。在南昌市范围有固定服务机构。</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（4）参与人具有相关办公家具项目和良好的售后服务应用成功案例,近三年未发生重大安全或质量事故。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（6）参与人有依法缴纳税金的良好记录。</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报价响应文件递交方式：密封报价。</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：2021年12</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10</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下午16:00前。</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联系人：吴礼平  联系电话：18070125196</w:t>
      </w:r>
    </w:p>
    <w:p>
      <w:pPr>
        <w:spacing w:after="0" w:line="500" w:lineRule="exact"/>
        <w:ind w:left="839"/>
        <w:rPr>
          <w:rFonts w:ascii="仿宋" w:hAnsi="仿宋" w:eastAsia="仿宋"/>
          <w:sz w:val="28"/>
          <w:szCs w:val="28"/>
        </w:rPr>
      </w:pPr>
      <w:r>
        <w:rPr>
          <w:rFonts w:hint="eastAsia" w:ascii="仿宋" w:hAnsi="仿宋" w:eastAsia="仿宋"/>
          <w:sz w:val="28"/>
          <w:szCs w:val="28"/>
        </w:rPr>
        <w:t>项目现场踏勘答疑人：章继涛  电话：13970092200</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29"/>
          <w:rFonts w:hint="eastAsia" w:ascii="仿宋" w:hAnsi="仿宋" w:eastAsia="仿宋"/>
          <w:b/>
          <w:bCs/>
          <w:sz w:val="28"/>
          <w:szCs w:val="28"/>
        </w:rPr>
        <w:t>Neikongbu@educationgroup.cn</w:t>
      </w:r>
      <w:r>
        <w:rPr>
          <w:rStyle w:val="29"/>
          <w:rFonts w:hint="eastAsia" w:ascii="仿宋" w:hAnsi="仿宋" w:eastAsia="仿宋"/>
          <w:b/>
          <w:bCs/>
          <w:sz w:val="28"/>
          <w:szCs w:val="28"/>
        </w:rPr>
        <w:fldChar w:fldCharType="end"/>
      </w:r>
    </w:p>
    <w:p>
      <w:pPr>
        <w:spacing w:after="0" w:line="500" w:lineRule="exact"/>
        <w:ind w:firstLine="427" w:firstLineChars="152"/>
        <w:jc w:val="left"/>
        <w:rPr>
          <w:rStyle w:val="29"/>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s="仿宋"/>
          <w:color w:val="000000"/>
          <w:sz w:val="28"/>
          <w:szCs w:val="28"/>
        </w:rPr>
        <w:t>www.ceghqxz.com</w:t>
      </w:r>
      <w:r>
        <w:rPr>
          <w:rStyle w:val="29"/>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3.维修地点、地址、联系电话及联系人员；</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所投货物符合采购需求、质量和服务要求,经过磋商所报价格为合理价格的参与人为成交参与人，最低报价不作为成交的保证。</w:t>
      </w:r>
    </w:p>
    <w:p>
      <w:pPr>
        <w:pStyle w:val="53"/>
        <w:numPr>
          <w:ilvl w:val="0"/>
          <w:numId w:val="2"/>
        </w:numPr>
        <w:spacing w:line="360" w:lineRule="auto"/>
        <w:jc w:val="center"/>
        <w:outlineLvl w:val="0"/>
        <w:rPr>
          <w:rFonts w:ascii="仿宋" w:hAnsi="仿宋" w:eastAsia="仿宋" w:cs="仿宋"/>
          <w:b/>
          <w:sz w:val="44"/>
          <w:szCs w:val="44"/>
        </w:rPr>
      </w:pPr>
      <w:r>
        <w:rPr>
          <w:rFonts w:ascii="仿宋" w:hAnsi="仿宋" w:eastAsia="仿宋"/>
          <w:sz w:val="28"/>
          <w:szCs w:val="28"/>
        </w:rPr>
        <w:br w:type="page"/>
      </w:r>
      <w:r>
        <w:rPr>
          <w:rFonts w:hint="eastAsia" w:ascii="仿宋" w:hAnsi="仿宋" w:eastAsia="仿宋" w:cs="仿宋"/>
          <w:b/>
          <w:sz w:val="44"/>
          <w:szCs w:val="44"/>
        </w:rPr>
        <w:t>公开询价货物一览表</w:t>
      </w:r>
    </w:p>
    <w:bookmarkEnd w:id="49"/>
    <w:tbl>
      <w:tblPr>
        <w:tblStyle w:val="24"/>
        <w:tblpPr w:leftFromText="180" w:rightFromText="180" w:vertAnchor="text" w:horzAnchor="page" w:tblpX="635" w:tblpY="570"/>
        <w:tblOverlap w:val="never"/>
        <w:tblW w:w="11344" w:type="dxa"/>
        <w:tblInd w:w="0" w:type="dxa"/>
        <w:tblLayout w:type="fixed"/>
        <w:tblCellMar>
          <w:top w:w="0" w:type="dxa"/>
          <w:left w:w="108" w:type="dxa"/>
          <w:bottom w:w="0" w:type="dxa"/>
          <w:right w:w="108" w:type="dxa"/>
        </w:tblCellMar>
      </w:tblPr>
      <w:tblGrid>
        <w:gridCol w:w="749"/>
        <w:gridCol w:w="868"/>
        <w:gridCol w:w="3591"/>
        <w:gridCol w:w="1129"/>
        <w:gridCol w:w="658"/>
        <w:gridCol w:w="916"/>
        <w:gridCol w:w="941"/>
        <w:gridCol w:w="2492"/>
      </w:tblGrid>
      <w:tr>
        <w:tblPrEx>
          <w:tblCellMar>
            <w:top w:w="0" w:type="dxa"/>
            <w:left w:w="108" w:type="dxa"/>
            <w:bottom w:w="0" w:type="dxa"/>
            <w:right w:w="108" w:type="dxa"/>
          </w:tblCellMar>
        </w:tblPrEx>
        <w:trPr>
          <w:trHeight w:val="496"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序号</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名</w:t>
            </w:r>
          </w:p>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称</w:t>
            </w:r>
          </w:p>
        </w:tc>
        <w:tc>
          <w:tcPr>
            <w:tcW w:w="3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val="en-US" w:eastAsia="zh-CN" w:bidi="ar"/>
              </w:rPr>
              <w:t>参考</w:t>
            </w:r>
            <w:r>
              <w:rPr>
                <w:rFonts w:hint="eastAsia" w:ascii="仿宋" w:hAnsi="仿宋" w:eastAsia="仿宋" w:cs="仿宋"/>
                <w:b/>
                <w:bCs/>
                <w:color w:val="000000"/>
                <w:sz w:val="24"/>
                <w:szCs w:val="24"/>
                <w:lang w:bidi="ar"/>
              </w:rPr>
              <w:t>图片</w:t>
            </w:r>
          </w:p>
        </w:tc>
        <w:tc>
          <w:tcPr>
            <w:tcW w:w="1129" w:type="dxa"/>
            <w:tcBorders>
              <w:top w:val="single" w:color="000000" w:sz="4" w:space="0"/>
              <w:left w:val="single" w:color="000000" w:sz="4" w:space="0"/>
              <w:bottom w:val="single" w:color="000000" w:sz="4" w:space="0"/>
              <w:right w:val="nil"/>
            </w:tcBorders>
            <w:shd w:val="clear" w:color="auto" w:fill="auto"/>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规格(mm)</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数量</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单价（元）</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总价（元）</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材质说明</w:t>
            </w:r>
          </w:p>
        </w:tc>
      </w:tr>
      <w:tr>
        <w:tblPrEx>
          <w:tblCellMar>
            <w:top w:w="0" w:type="dxa"/>
            <w:left w:w="108" w:type="dxa"/>
            <w:bottom w:w="0" w:type="dxa"/>
            <w:right w:w="108" w:type="dxa"/>
          </w:tblCellMar>
        </w:tblPrEx>
        <w:trPr>
          <w:trHeight w:val="3560" w:hRule="atLeast"/>
        </w:trPr>
        <w:tc>
          <w:tcPr>
            <w:tcW w:w="749"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四人阅览桌</w:t>
            </w:r>
          </w:p>
        </w:tc>
        <w:tc>
          <w:tcPr>
            <w:tcW w:w="3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bdr w:val="single" w:color="000000" w:sz="4" w:space="0"/>
                <w:lang w:bidi="ar"/>
              </w:rPr>
              <w:drawing>
                <wp:anchor distT="0" distB="0" distL="114300" distR="114300" simplePos="0" relativeHeight="251661312" behindDoc="0" locked="0" layoutInCell="1" allowOverlap="1">
                  <wp:simplePos x="0" y="0"/>
                  <wp:positionH relativeFrom="column">
                    <wp:posOffset>95250</wp:posOffset>
                  </wp:positionH>
                  <wp:positionV relativeFrom="paragraph">
                    <wp:posOffset>226695</wp:posOffset>
                  </wp:positionV>
                  <wp:extent cx="2002155" cy="1740535"/>
                  <wp:effectExtent l="0" t="0" r="17145" b="12065"/>
                  <wp:wrapNone/>
                  <wp:docPr id="8" name="图片_1"/>
                  <wp:cNvGraphicFramePr/>
                  <a:graphic xmlns:a="http://schemas.openxmlformats.org/drawingml/2006/main">
                    <a:graphicData uri="http://schemas.openxmlformats.org/drawingml/2006/picture">
                      <pic:pic xmlns:pic="http://schemas.openxmlformats.org/drawingml/2006/picture">
                        <pic:nvPicPr>
                          <pic:cNvPr id="8" name="图片_1"/>
                          <pic:cNvPicPr/>
                        </pic:nvPicPr>
                        <pic:blipFill>
                          <a:blip r:embed="rId19"/>
                          <a:stretch>
                            <a:fillRect/>
                          </a:stretch>
                        </pic:blipFill>
                        <pic:spPr>
                          <a:xfrm>
                            <a:off x="0" y="0"/>
                            <a:ext cx="2002155" cy="1740535"/>
                          </a:xfrm>
                          <a:prstGeom prst="rect">
                            <a:avLst/>
                          </a:prstGeom>
                          <a:noFill/>
                          <a:ln>
                            <a:noFill/>
                          </a:ln>
                        </pic:spPr>
                      </pic:pic>
                    </a:graphicData>
                  </a:graphic>
                </wp:anchor>
              </w:drawing>
            </w:r>
          </w:p>
        </w:tc>
        <w:tc>
          <w:tcPr>
            <w:tcW w:w="1129" w:type="dxa"/>
            <w:tcBorders>
              <w:top w:val="single" w:color="000000" w:sz="4" w:space="0"/>
              <w:left w:val="single" w:color="000000" w:sz="4" w:space="0"/>
              <w:bottom w:val="single" w:color="000000" w:sz="4" w:space="0"/>
              <w:right w:val="nil"/>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1600*900*760</w:t>
            </w:r>
            <w:r>
              <w:rPr>
                <w:rFonts w:hint="eastAsia" w:ascii="仿宋" w:hAnsi="仿宋" w:eastAsia="仿宋" w:cs="仿宋"/>
                <w:color w:val="000000"/>
                <w:sz w:val="24"/>
                <w:szCs w:val="24"/>
                <w:lang w:bidi="ar"/>
              </w:rPr>
              <w:br w:type="textWrapping"/>
            </w:r>
            <w:r>
              <w:rPr>
                <w:rFonts w:hint="eastAsia" w:ascii="仿宋" w:hAnsi="仿宋" w:eastAsia="仿宋" w:cs="仿宋"/>
                <w:color w:val="000000"/>
                <w:sz w:val="24"/>
                <w:szCs w:val="24"/>
                <w:lang w:bidi="ar"/>
              </w:rPr>
              <w:t>参考校方样品</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70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材质：台面和桌脚均采用橡木实木，结构扎实耐用；桌面厚度达到25MM，鸭嘴边处理；桌脚为方脚，厚度达到45MM，榫卯结构；整桌经防虫防腐烘干处理</w:t>
            </w:r>
          </w:p>
        </w:tc>
      </w:tr>
      <w:tr>
        <w:tblPrEx>
          <w:tblCellMar>
            <w:top w:w="0" w:type="dxa"/>
            <w:left w:w="108" w:type="dxa"/>
            <w:bottom w:w="0" w:type="dxa"/>
            <w:right w:w="108" w:type="dxa"/>
          </w:tblCellMar>
        </w:tblPrEx>
        <w:trPr>
          <w:trHeight w:val="3241" w:hRule="atLeast"/>
        </w:trPr>
        <w:tc>
          <w:tcPr>
            <w:tcW w:w="749" w:type="dxa"/>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靠背椅</w:t>
            </w:r>
          </w:p>
        </w:tc>
        <w:tc>
          <w:tcPr>
            <w:tcW w:w="3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bdr w:val="single" w:color="000000" w:sz="4" w:space="0"/>
                <w:lang w:bidi="ar"/>
              </w:rPr>
              <w:drawing>
                <wp:anchor distT="0" distB="0" distL="114300" distR="114300" simplePos="0" relativeHeight="251662336" behindDoc="0" locked="0" layoutInCell="1" allowOverlap="1">
                  <wp:simplePos x="0" y="0"/>
                  <wp:positionH relativeFrom="column">
                    <wp:posOffset>372745</wp:posOffset>
                  </wp:positionH>
                  <wp:positionV relativeFrom="paragraph">
                    <wp:posOffset>55245</wp:posOffset>
                  </wp:positionV>
                  <wp:extent cx="1323975" cy="1837690"/>
                  <wp:effectExtent l="0" t="0" r="9525" b="10160"/>
                  <wp:wrapNone/>
                  <wp:docPr id="9" name="图片_1_SpCnt_1"/>
                  <wp:cNvGraphicFramePr/>
                  <a:graphic xmlns:a="http://schemas.openxmlformats.org/drawingml/2006/main">
                    <a:graphicData uri="http://schemas.openxmlformats.org/drawingml/2006/picture">
                      <pic:pic xmlns:pic="http://schemas.openxmlformats.org/drawingml/2006/picture">
                        <pic:nvPicPr>
                          <pic:cNvPr id="9" name="图片_1_SpCnt_1"/>
                          <pic:cNvPicPr/>
                        </pic:nvPicPr>
                        <pic:blipFill>
                          <a:blip r:embed="rId20"/>
                          <a:stretch>
                            <a:fillRect/>
                          </a:stretch>
                        </pic:blipFill>
                        <pic:spPr>
                          <a:xfrm>
                            <a:off x="0" y="0"/>
                            <a:ext cx="1323975" cy="1837690"/>
                          </a:xfrm>
                          <a:prstGeom prst="rect">
                            <a:avLst/>
                          </a:prstGeom>
                          <a:noFill/>
                          <a:ln>
                            <a:noFill/>
                          </a:ln>
                        </pic:spPr>
                      </pic:pic>
                    </a:graphicData>
                  </a:graphic>
                </wp:anchor>
              </w:drawing>
            </w:r>
          </w:p>
        </w:tc>
        <w:tc>
          <w:tcPr>
            <w:tcW w:w="1129" w:type="dxa"/>
            <w:tcBorders>
              <w:top w:val="single" w:color="000000" w:sz="4" w:space="0"/>
              <w:left w:val="single" w:color="000000" w:sz="4" w:space="0"/>
              <w:bottom w:val="single" w:color="000000" w:sz="4" w:space="0"/>
              <w:right w:val="nil"/>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按校方样品</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材质：均为橡木实木，结构扎实耐用；整体造型符合人体工学原理；榫卯结构</w:t>
            </w:r>
          </w:p>
        </w:tc>
      </w:tr>
      <w:tr>
        <w:tblPrEx>
          <w:tblCellMar>
            <w:top w:w="0" w:type="dxa"/>
            <w:left w:w="108" w:type="dxa"/>
            <w:bottom w:w="0" w:type="dxa"/>
            <w:right w:w="108" w:type="dxa"/>
          </w:tblCellMar>
        </w:tblPrEx>
        <w:trPr>
          <w:trHeight w:val="2456"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休闲椅</w:t>
            </w:r>
          </w:p>
        </w:tc>
        <w:tc>
          <w:tcPr>
            <w:tcW w:w="359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left"/>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bdr w:val="single" w:color="000000" w:sz="4" w:space="0"/>
                <w:lang w:bidi="ar"/>
              </w:rPr>
              <w:drawing>
                <wp:anchor distT="0" distB="0" distL="114300" distR="114300" simplePos="0" relativeHeight="251663360" behindDoc="0" locked="0" layoutInCell="1" allowOverlap="1">
                  <wp:simplePos x="0" y="0"/>
                  <wp:positionH relativeFrom="column">
                    <wp:posOffset>690245</wp:posOffset>
                  </wp:positionH>
                  <wp:positionV relativeFrom="paragraph">
                    <wp:posOffset>292100</wp:posOffset>
                  </wp:positionV>
                  <wp:extent cx="1038225" cy="975360"/>
                  <wp:effectExtent l="0" t="0" r="9525" b="15240"/>
                  <wp:wrapNone/>
                  <wp:docPr id="11" name="图片_14"/>
                  <wp:cNvGraphicFramePr/>
                  <a:graphic xmlns:a="http://schemas.openxmlformats.org/drawingml/2006/main">
                    <a:graphicData uri="http://schemas.openxmlformats.org/drawingml/2006/picture">
                      <pic:pic xmlns:pic="http://schemas.openxmlformats.org/drawingml/2006/picture">
                        <pic:nvPicPr>
                          <pic:cNvPr id="11" name="图片_14"/>
                          <pic:cNvPicPr/>
                        </pic:nvPicPr>
                        <pic:blipFill>
                          <a:blip r:embed="rId21"/>
                          <a:stretch>
                            <a:fillRect/>
                          </a:stretch>
                        </pic:blipFill>
                        <pic:spPr>
                          <a:xfrm>
                            <a:off x="0" y="0"/>
                            <a:ext cx="1038225" cy="975360"/>
                          </a:xfrm>
                          <a:prstGeom prst="rect">
                            <a:avLst/>
                          </a:prstGeom>
                          <a:noFill/>
                          <a:ln>
                            <a:noFill/>
                          </a:ln>
                        </pic:spPr>
                      </pic:pic>
                    </a:graphicData>
                  </a:graphic>
                </wp:anchor>
              </w:drawing>
            </w:r>
          </w:p>
        </w:tc>
        <w:tc>
          <w:tcPr>
            <w:tcW w:w="1129" w:type="dxa"/>
            <w:tcBorders>
              <w:top w:val="single" w:color="000000" w:sz="4" w:space="0"/>
              <w:left w:val="single" w:color="000000" w:sz="4" w:space="0"/>
              <w:bottom w:val="single" w:color="auto" w:sz="4" w:space="0"/>
              <w:right w:val="nil"/>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450*350*910</w:t>
            </w:r>
          </w:p>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按校方样品</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180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座垫采用高密度海绵，坐感舒适；钢管为实心，焊接平整，结构扎实耐用；整体造型符合人体工学原理，椅背和座垫颜色为灰色</w:t>
            </w:r>
          </w:p>
        </w:tc>
      </w:tr>
      <w:tr>
        <w:tblPrEx>
          <w:tblCellMar>
            <w:top w:w="0" w:type="dxa"/>
            <w:left w:w="108" w:type="dxa"/>
            <w:bottom w:w="0" w:type="dxa"/>
            <w:right w:w="108" w:type="dxa"/>
          </w:tblCellMar>
        </w:tblPrEx>
        <w:trPr>
          <w:trHeight w:val="2264"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86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发言台</w:t>
            </w:r>
          </w:p>
        </w:tc>
        <w:tc>
          <w:tcPr>
            <w:tcW w:w="359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bdr w:val="single" w:color="000000" w:sz="4" w:space="0"/>
                <w:lang w:bidi="ar"/>
              </w:rPr>
              <w:drawing>
                <wp:anchor distT="0" distB="0" distL="114300" distR="114300" simplePos="0" relativeHeight="251664384" behindDoc="0" locked="0" layoutInCell="1" allowOverlap="1">
                  <wp:simplePos x="0" y="0"/>
                  <wp:positionH relativeFrom="column">
                    <wp:posOffset>751205</wp:posOffset>
                  </wp:positionH>
                  <wp:positionV relativeFrom="paragraph">
                    <wp:posOffset>221615</wp:posOffset>
                  </wp:positionV>
                  <wp:extent cx="740410" cy="952500"/>
                  <wp:effectExtent l="0" t="0" r="2540" b="0"/>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22"/>
                          <a:stretch>
                            <a:fillRect/>
                          </a:stretch>
                        </pic:blipFill>
                        <pic:spPr>
                          <a:xfrm>
                            <a:off x="0" y="0"/>
                            <a:ext cx="740410" cy="952500"/>
                          </a:xfrm>
                          <a:prstGeom prst="rect">
                            <a:avLst/>
                          </a:prstGeom>
                          <a:noFill/>
                          <a:ln>
                            <a:noFill/>
                          </a:ln>
                        </pic:spPr>
                      </pic:pic>
                    </a:graphicData>
                  </a:graphic>
                </wp:anchor>
              </w:drawing>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 xml:space="preserve">底：50CM*40CM 台：58CM*43CM 高：117CM  </w:t>
            </w:r>
          </w:p>
        </w:tc>
        <w:tc>
          <w:tcPr>
            <w:tcW w:w="65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均为实木，结构扎实耐用，需在正面贴校微</w:t>
            </w:r>
          </w:p>
        </w:tc>
      </w:tr>
      <w:tr>
        <w:tblPrEx>
          <w:tblCellMar>
            <w:top w:w="0" w:type="dxa"/>
            <w:left w:w="108" w:type="dxa"/>
            <w:bottom w:w="0" w:type="dxa"/>
            <w:right w:w="108" w:type="dxa"/>
          </w:tblCellMar>
        </w:tblPrEx>
        <w:trPr>
          <w:trHeight w:val="2204"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圆桌</w:t>
            </w:r>
          </w:p>
        </w:tc>
        <w:tc>
          <w:tcPr>
            <w:tcW w:w="359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bdr w:val="single" w:color="000000" w:sz="4" w:space="0"/>
                <w:lang w:bidi="ar"/>
              </w:rPr>
              <w:drawing>
                <wp:anchor distT="0" distB="0" distL="114300" distR="114300" simplePos="0" relativeHeight="251665408" behindDoc="0" locked="0" layoutInCell="1" allowOverlap="1">
                  <wp:simplePos x="0" y="0"/>
                  <wp:positionH relativeFrom="column">
                    <wp:posOffset>455295</wp:posOffset>
                  </wp:positionH>
                  <wp:positionV relativeFrom="paragraph">
                    <wp:posOffset>198755</wp:posOffset>
                  </wp:positionV>
                  <wp:extent cx="1270000" cy="1116965"/>
                  <wp:effectExtent l="0" t="0" r="6350" b="6985"/>
                  <wp:wrapNone/>
                  <wp:docPr id="1" name="图片_1_SpCnt_2"/>
                  <wp:cNvGraphicFramePr/>
                  <a:graphic xmlns:a="http://schemas.openxmlformats.org/drawingml/2006/main">
                    <a:graphicData uri="http://schemas.openxmlformats.org/drawingml/2006/picture">
                      <pic:pic xmlns:pic="http://schemas.openxmlformats.org/drawingml/2006/picture">
                        <pic:nvPicPr>
                          <pic:cNvPr id="1" name="图片_1_SpCnt_2"/>
                          <pic:cNvPicPr/>
                        </pic:nvPicPr>
                        <pic:blipFill>
                          <a:blip r:embed="rId23"/>
                          <a:stretch>
                            <a:fillRect/>
                          </a:stretch>
                        </pic:blipFill>
                        <pic:spPr>
                          <a:xfrm>
                            <a:off x="0" y="0"/>
                            <a:ext cx="1270000" cy="1116965"/>
                          </a:xfrm>
                          <a:prstGeom prst="rect">
                            <a:avLst/>
                          </a:prstGeom>
                          <a:noFill/>
                          <a:ln>
                            <a:noFill/>
                          </a:ln>
                        </pic:spPr>
                      </pic:pic>
                    </a:graphicData>
                  </a:graphic>
                </wp:anchor>
              </w:drawing>
            </w:r>
          </w:p>
        </w:tc>
        <w:tc>
          <w:tcPr>
            <w:tcW w:w="1129" w:type="dxa"/>
            <w:tcBorders>
              <w:top w:val="single" w:color="auto" w:sz="4" w:space="0"/>
              <w:left w:val="single" w:color="000000" w:sz="4" w:space="0"/>
              <w:bottom w:val="single" w:color="000000" w:sz="4" w:space="0"/>
              <w:right w:val="nil"/>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900*750</w:t>
            </w:r>
          </w:p>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按校方样品</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47</w:t>
            </w:r>
          </w:p>
        </w:tc>
        <w:tc>
          <w:tcPr>
            <w:tcW w:w="9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橡木实木台面+钢脚，结构扎实耐用（图片仅供参考）</w:t>
            </w:r>
          </w:p>
        </w:tc>
      </w:tr>
      <w:tr>
        <w:tblPrEx>
          <w:tblCellMar>
            <w:top w:w="0" w:type="dxa"/>
            <w:left w:w="108" w:type="dxa"/>
            <w:bottom w:w="0" w:type="dxa"/>
            <w:right w:w="108" w:type="dxa"/>
          </w:tblCellMar>
        </w:tblPrEx>
        <w:trPr>
          <w:trHeight w:val="1506" w:hRule="atLeast"/>
        </w:trPr>
        <w:tc>
          <w:tcPr>
            <w:tcW w:w="749" w:type="dxa"/>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单人沙发</w:t>
            </w:r>
          </w:p>
        </w:tc>
        <w:tc>
          <w:tcPr>
            <w:tcW w:w="3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bdr w:val="single" w:color="000000" w:sz="4" w:space="0"/>
                <w:lang w:bidi="ar"/>
              </w:rPr>
              <w:drawing>
                <wp:anchor distT="0" distB="0" distL="114300" distR="114300" simplePos="0" relativeHeight="251666432" behindDoc="0" locked="0" layoutInCell="1" allowOverlap="1">
                  <wp:simplePos x="0" y="0"/>
                  <wp:positionH relativeFrom="column">
                    <wp:posOffset>40005</wp:posOffset>
                  </wp:positionH>
                  <wp:positionV relativeFrom="paragraph">
                    <wp:posOffset>300355</wp:posOffset>
                  </wp:positionV>
                  <wp:extent cx="2038350" cy="1274445"/>
                  <wp:effectExtent l="0" t="0" r="0" b="1905"/>
                  <wp:wrapNone/>
                  <wp:docPr id="7" name="图片_3_SpCnt_1"/>
                  <wp:cNvGraphicFramePr/>
                  <a:graphic xmlns:a="http://schemas.openxmlformats.org/drawingml/2006/main">
                    <a:graphicData uri="http://schemas.openxmlformats.org/drawingml/2006/picture">
                      <pic:pic xmlns:pic="http://schemas.openxmlformats.org/drawingml/2006/picture">
                        <pic:nvPicPr>
                          <pic:cNvPr id="7" name="图片_3_SpCnt_1"/>
                          <pic:cNvPicPr/>
                        </pic:nvPicPr>
                        <pic:blipFill>
                          <a:blip r:embed="rId24"/>
                          <a:stretch>
                            <a:fillRect/>
                          </a:stretch>
                        </pic:blipFill>
                        <pic:spPr>
                          <a:xfrm>
                            <a:off x="0" y="0"/>
                            <a:ext cx="2038350" cy="1274445"/>
                          </a:xfrm>
                          <a:prstGeom prst="rect">
                            <a:avLst/>
                          </a:prstGeom>
                          <a:noFill/>
                          <a:ln>
                            <a:noFill/>
                          </a:ln>
                        </pic:spPr>
                      </pic:pic>
                    </a:graphicData>
                  </a:graphic>
                </wp:anchor>
              </w:drawing>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920*800*660</w:t>
            </w:r>
          </w:p>
        </w:tc>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12</w:t>
            </w: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 w:val="24"/>
                <w:szCs w:val="24"/>
              </w:rPr>
            </w:pPr>
          </w:p>
        </w:tc>
        <w:tc>
          <w:tcPr>
            <w:tcW w:w="2492"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棕色或灰色优质西皮饰面；40密度高弹力海绵；双面抛光、烘干、除虫处理实木木架；锰钢蛇簧加平衡线处理；电镀沙发脚；结构扎实耐用（图片仅供参考）</w:t>
            </w:r>
          </w:p>
        </w:tc>
      </w:tr>
      <w:tr>
        <w:tblPrEx>
          <w:tblCellMar>
            <w:top w:w="0" w:type="dxa"/>
            <w:left w:w="108" w:type="dxa"/>
            <w:bottom w:w="0" w:type="dxa"/>
            <w:right w:w="108" w:type="dxa"/>
          </w:tblCellMar>
        </w:tblPrEx>
        <w:trPr>
          <w:trHeight w:val="1327" w:hRule="atLeast"/>
        </w:trPr>
        <w:tc>
          <w:tcPr>
            <w:tcW w:w="749"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7</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双人沙发</w:t>
            </w:r>
          </w:p>
        </w:tc>
        <w:tc>
          <w:tcPr>
            <w:tcW w:w="3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1500*800*660</w:t>
            </w:r>
          </w:p>
        </w:tc>
        <w:tc>
          <w:tcPr>
            <w:tcW w:w="6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sz w:val="24"/>
                <w:szCs w:val="24"/>
              </w:rPr>
            </w:pPr>
          </w:p>
        </w:tc>
        <w:tc>
          <w:tcPr>
            <w:tcW w:w="2492"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443"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8</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S形沙发</w:t>
            </w:r>
          </w:p>
        </w:tc>
        <w:tc>
          <w:tcPr>
            <w:tcW w:w="3591" w:type="dxa"/>
            <w:tcBorders>
              <w:top w:val="single" w:color="000000" w:sz="4" w:space="0"/>
              <w:left w:val="single" w:color="000000" w:sz="4" w:space="0"/>
              <w:bottom w:val="nil"/>
              <w:right w:val="single" w:color="000000" w:sz="4" w:space="0"/>
            </w:tcBorders>
            <w:shd w:val="clear" w:color="auto" w:fill="auto"/>
            <w:noWrap/>
            <w:vAlign w:val="center"/>
          </w:tcPr>
          <w:p>
            <w:pPr>
              <w:jc w:val="left"/>
              <w:textAlignment w:val="center"/>
              <w:rPr>
                <w:rFonts w:ascii="仿宋" w:hAnsi="仿宋" w:eastAsia="仿宋" w:cs="仿宋"/>
                <w:b/>
                <w:bCs/>
                <w:color w:val="000000"/>
                <w:sz w:val="24"/>
                <w:szCs w:val="24"/>
              </w:rPr>
            </w:pPr>
            <w:r>
              <w:rPr>
                <w:rFonts w:ascii="仿宋" w:hAnsi="仿宋" w:eastAsia="仿宋" w:cs="仿宋"/>
                <w:b/>
                <w:bCs/>
                <w:color w:val="000000"/>
                <w:sz w:val="24"/>
                <w:szCs w:val="24"/>
              </w:rPr>
              <w:drawing>
                <wp:inline distT="0" distB="0" distL="0" distR="0">
                  <wp:extent cx="2143125" cy="12477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5" cstate="print">
                            <a:extLst>
                              <a:ext uri="{28A0092B-C50C-407E-A947-70E740481C1C}">
                                <a14:useLocalDpi xmlns:a14="http://schemas.microsoft.com/office/drawing/2010/main" val="0"/>
                              </a:ext>
                            </a:extLst>
                          </a:blip>
                          <a:srcRect t="20444" b="21334"/>
                          <a:stretch>
                            <a:fillRect/>
                          </a:stretch>
                        </pic:blipFill>
                        <pic:spPr>
                          <a:xfrm>
                            <a:off x="0" y="0"/>
                            <a:ext cx="2143125" cy="1247775"/>
                          </a:xfrm>
                          <a:prstGeom prst="rect">
                            <a:avLst/>
                          </a:prstGeom>
                          <a:ln>
                            <a:noFill/>
                          </a:ln>
                        </pic:spPr>
                      </pic:pic>
                    </a:graphicData>
                  </a:graphic>
                </wp:inline>
              </w:drawing>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Style w:val="66"/>
                <w:rFonts w:hint="default" w:ascii="仿宋" w:hAnsi="仿宋" w:eastAsia="仿宋" w:cs="仿宋"/>
                <w:lang w:bidi="ar"/>
              </w:rPr>
            </w:pPr>
            <w:r>
              <w:rPr>
                <w:rStyle w:val="66"/>
                <w:rFonts w:ascii="仿宋" w:hAnsi="仿宋" w:eastAsia="仿宋" w:cs="仿宋"/>
                <w:lang w:bidi="ar"/>
              </w:rPr>
              <w:t>外径</w:t>
            </w:r>
            <w:r>
              <w:rPr>
                <w:rStyle w:val="66"/>
                <w:rFonts w:hint="default" w:ascii="仿宋" w:hAnsi="仿宋" w:eastAsia="仿宋" w:cs="仿宋"/>
                <w:lang w:bidi="ar"/>
              </w:rPr>
              <w:t>180cm</w:t>
            </w:r>
          </w:p>
          <w:p>
            <w:pPr>
              <w:jc w:val="center"/>
              <w:textAlignment w:val="center"/>
              <w:rPr>
                <w:rStyle w:val="66"/>
                <w:rFonts w:hint="default" w:ascii="仿宋" w:hAnsi="仿宋" w:eastAsia="仿宋" w:cs="仿宋"/>
                <w:lang w:bidi="ar"/>
              </w:rPr>
            </w:pPr>
            <w:r>
              <w:rPr>
                <w:rStyle w:val="66"/>
                <w:rFonts w:ascii="仿宋" w:hAnsi="仿宋" w:eastAsia="仿宋" w:cs="仿宋"/>
                <w:lang w:bidi="ar"/>
              </w:rPr>
              <w:t>宽高</w:t>
            </w:r>
            <w:r>
              <w:rPr>
                <w:rStyle w:val="66"/>
                <w:rFonts w:hint="default" w:ascii="仿宋" w:hAnsi="仿宋" w:eastAsia="仿宋" w:cs="仿宋"/>
                <w:lang w:bidi="ar"/>
              </w:rPr>
              <w:t>40cm</w:t>
            </w:r>
          </w:p>
          <w:p>
            <w:pPr>
              <w:jc w:val="center"/>
              <w:textAlignment w:val="center"/>
              <w:rPr>
                <w:rFonts w:ascii="仿宋" w:hAnsi="仿宋" w:eastAsia="仿宋" w:cs="仿宋"/>
                <w:color w:val="000000"/>
                <w:sz w:val="24"/>
                <w:szCs w:val="24"/>
              </w:rPr>
            </w:pPr>
            <w:r>
              <w:rPr>
                <w:rStyle w:val="66"/>
                <w:rFonts w:hint="default"/>
                <w:lang w:bidi="ar"/>
              </w:rPr>
              <w:t>6</w:t>
            </w:r>
            <w:r>
              <w:rPr>
                <w:rStyle w:val="66"/>
                <w:lang w:bidi="ar"/>
              </w:rPr>
              <w:t>个拼</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9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棕色或灰色优质西皮饰面；40密度高弹力海绵；双面抛光、烘干、除虫处理实木木架；E</w:t>
            </w:r>
            <w:r>
              <w:rPr>
                <w:rFonts w:ascii="仿宋" w:hAnsi="仿宋" w:eastAsia="仿宋" w:cs="仿宋"/>
                <w:color w:val="000000"/>
                <w:sz w:val="24"/>
                <w:szCs w:val="24"/>
                <w:lang w:bidi="ar"/>
              </w:rPr>
              <w:t>1</w:t>
            </w:r>
            <w:r>
              <w:rPr>
                <w:rFonts w:hint="eastAsia" w:ascii="仿宋" w:hAnsi="仿宋" w:eastAsia="仿宋" w:cs="仿宋"/>
                <w:color w:val="000000"/>
                <w:sz w:val="24"/>
                <w:szCs w:val="24"/>
                <w:lang w:bidi="ar"/>
              </w:rPr>
              <w:t>级多层实木板；结构扎实耐用；</w:t>
            </w:r>
            <w:r>
              <w:rPr>
                <w:rFonts w:hint="eastAsia" w:ascii="仿宋" w:hAnsi="仿宋" w:eastAsia="仿宋" w:cs="仿宋"/>
                <w:color w:val="000000"/>
                <w:sz w:val="24"/>
                <w:szCs w:val="24"/>
              </w:rPr>
              <w:t>图片仅供参考</w:t>
            </w:r>
          </w:p>
        </w:tc>
      </w:tr>
      <w:tr>
        <w:tblPrEx>
          <w:tblCellMar>
            <w:top w:w="0" w:type="dxa"/>
            <w:left w:w="108" w:type="dxa"/>
            <w:bottom w:w="0" w:type="dxa"/>
            <w:right w:w="108" w:type="dxa"/>
          </w:tblCellMar>
        </w:tblPrEx>
        <w:trPr>
          <w:trHeight w:val="1476"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木材质</w:t>
            </w:r>
            <w:r>
              <w:rPr>
                <w:rFonts w:hint="eastAsia" w:ascii="仿宋" w:hAnsi="仿宋" w:eastAsia="仿宋" w:cs="仿宋"/>
                <w:color w:val="000000"/>
                <w:sz w:val="24"/>
                <w:szCs w:val="24"/>
                <w:lang w:eastAsia="zh-CN" w:bidi="ar"/>
              </w:rPr>
              <w:t>的家具</w:t>
            </w:r>
            <w:r>
              <w:rPr>
                <w:rFonts w:hint="eastAsia" w:ascii="仿宋" w:hAnsi="仿宋" w:eastAsia="仿宋" w:cs="仿宋"/>
                <w:color w:val="000000"/>
                <w:sz w:val="24"/>
                <w:szCs w:val="24"/>
                <w:lang w:bidi="ar"/>
              </w:rPr>
              <w:t>颜色</w:t>
            </w:r>
          </w:p>
        </w:tc>
        <w:tc>
          <w:tcPr>
            <w:tcW w:w="3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bdr w:val="single" w:color="000000" w:sz="4" w:space="0"/>
                <w:lang w:bidi="ar"/>
              </w:rPr>
              <w:drawing>
                <wp:anchor distT="0" distB="0" distL="114300" distR="114300" simplePos="0" relativeHeight="251667456" behindDoc="0" locked="0" layoutInCell="1" allowOverlap="1">
                  <wp:simplePos x="0" y="0"/>
                  <wp:positionH relativeFrom="column">
                    <wp:posOffset>666750</wp:posOffset>
                  </wp:positionH>
                  <wp:positionV relativeFrom="paragraph">
                    <wp:posOffset>28575</wp:posOffset>
                  </wp:positionV>
                  <wp:extent cx="1219200" cy="857250"/>
                  <wp:effectExtent l="0" t="0" r="0" b="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26"/>
                          <a:stretch>
                            <a:fillRect/>
                          </a:stretch>
                        </pic:blipFill>
                        <pic:spPr>
                          <a:xfrm>
                            <a:off x="0" y="0"/>
                            <a:ext cx="1219200" cy="857250"/>
                          </a:xfrm>
                          <a:prstGeom prst="rect">
                            <a:avLst/>
                          </a:prstGeom>
                          <a:noFill/>
                          <a:ln>
                            <a:noFill/>
                          </a:ln>
                        </pic:spPr>
                      </pic:pic>
                    </a:graphicData>
                  </a:graphic>
                </wp:anchor>
              </w:drawing>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木纹</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木材质</w:t>
            </w:r>
            <w:r>
              <w:rPr>
                <w:rFonts w:hint="eastAsia" w:ascii="仿宋" w:hAnsi="仿宋" w:eastAsia="仿宋" w:cs="仿宋"/>
                <w:color w:val="000000"/>
                <w:sz w:val="24"/>
                <w:szCs w:val="24"/>
                <w:lang w:eastAsia="zh-CN" w:bidi="ar"/>
              </w:rPr>
              <w:t>的家具</w:t>
            </w:r>
            <w:r>
              <w:rPr>
                <w:rFonts w:hint="eastAsia" w:ascii="仿宋" w:hAnsi="仿宋" w:eastAsia="仿宋" w:cs="仿宋"/>
                <w:color w:val="000000"/>
                <w:sz w:val="24"/>
                <w:szCs w:val="24"/>
                <w:lang w:bidi="ar"/>
              </w:rPr>
              <w:t>花纹参考这个颜色；第4项演讲发言台颜色是木红色。</w:t>
            </w:r>
          </w:p>
        </w:tc>
      </w:tr>
      <w:tr>
        <w:tblPrEx>
          <w:tblCellMar>
            <w:top w:w="0" w:type="dxa"/>
            <w:left w:w="108" w:type="dxa"/>
            <w:bottom w:w="0" w:type="dxa"/>
            <w:right w:w="108" w:type="dxa"/>
          </w:tblCellMar>
        </w:tblPrEx>
        <w:trPr>
          <w:trHeight w:val="506" w:hRule="atLeast"/>
        </w:trPr>
        <w:tc>
          <w:tcPr>
            <w:tcW w:w="791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仿宋" w:hAnsi="仿宋" w:eastAsia="仿宋" w:cs="仿宋"/>
                <w:color w:val="000000"/>
                <w:sz w:val="24"/>
                <w:szCs w:val="24"/>
              </w:rPr>
            </w:pP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bl>
    <w:p>
      <w:pPr>
        <w:spacing w:after="0" w:line="500" w:lineRule="exact"/>
        <w:ind w:firstLine="480" w:firstLineChars="200"/>
        <w:rPr>
          <w:rFonts w:ascii="仿宋" w:hAnsi="仿宋" w:eastAsia="仿宋"/>
          <w:b/>
          <w:sz w:val="24"/>
          <w:szCs w:val="24"/>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4"/>
          <w:szCs w:val="24"/>
        </w:rPr>
        <w:t>本项目为“交钥匙工程”含货物运输到指定地点、安装等所有项目，参与人报价时需提供针对本项目详细数量、产品参数、图片信息等，如未提供以上信息，将视为无效报价。</w:t>
      </w:r>
      <w:r>
        <w:rPr>
          <w:rFonts w:ascii="仿宋" w:hAnsi="仿宋" w:eastAsia="仿宋"/>
          <w:b/>
          <w:sz w:val="24"/>
          <w:szCs w:val="24"/>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0288"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r>
        <w:rPr>
          <w:rFonts w:hint="eastAsia" w:ascii="仿宋" w:hAnsi="仿宋" w:eastAsia="仿宋"/>
          <w:b/>
          <w:color w:val="000000" w:themeColor="text1"/>
          <w:sz w:val="32"/>
          <w:szCs w:val="32"/>
          <w14:textFill>
            <w14:solidFill>
              <w14:schemeClr w14:val="tx1"/>
            </w14:solidFill>
          </w14:textFill>
        </w:rPr>
        <w:t>图文信息中心一楼阅览室办公家具</w:t>
      </w:r>
      <w:r>
        <w:rPr>
          <w:rFonts w:hint="eastAsia" w:ascii="仿宋" w:hAnsi="仿宋" w:eastAsia="仿宋"/>
          <w:b/>
          <w:sz w:val="32"/>
          <w:szCs w:val="32"/>
        </w:rPr>
        <w:t>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181436565"/>
      <w:bookmarkStart w:id="52" w:name="_Toc267059806"/>
      <w:bookmarkStart w:id="53" w:name="_Toc213755858"/>
      <w:bookmarkStart w:id="54" w:name="_Toc193160448"/>
      <w:bookmarkStart w:id="55" w:name="_Toc192663686"/>
      <w:bookmarkStart w:id="56" w:name="_Toc213755939"/>
      <w:bookmarkStart w:id="57" w:name="_Toc249325711"/>
      <w:bookmarkStart w:id="58" w:name="_Toc266868670"/>
      <w:bookmarkStart w:id="59" w:name="_Toc182805217"/>
      <w:bookmarkStart w:id="60" w:name="_Toc251613829"/>
      <w:bookmarkStart w:id="61" w:name="_Toc255975007"/>
      <w:bookmarkStart w:id="62" w:name="_Toc219800243"/>
      <w:bookmarkStart w:id="63" w:name="_Toc192663835"/>
      <w:bookmarkStart w:id="64" w:name="_Toc193165734"/>
      <w:bookmarkStart w:id="65" w:name="_Toc236021449"/>
      <w:bookmarkStart w:id="66" w:name="_Toc266870432"/>
      <w:bookmarkStart w:id="67" w:name="_Toc181436461"/>
      <w:bookmarkStart w:id="68" w:name="_Toc203355733"/>
      <w:bookmarkStart w:id="69" w:name="_Toc227058530"/>
      <w:bookmarkStart w:id="70" w:name="_Toc267059030"/>
      <w:bookmarkStart w:id="71" w:name="_Toc267059539"/>
      <w:bookmarkStart w:id="72" w:name="_Toc235437991"/>
      <w:bookmarkStart w:id="73" w:name="_Toc267059653"/>
      <w:bookmarkStart w:id="74" w:name="_Toc160880160"/>
      <w:bookmarkStart w:id="75" w:name="_Toc177985469"/>
      <w:bookmarkStart w:id="76" w:name="_Toc267059181"/>
      <w:bookmarkStart w:id="77" w:name="_Toc217891402"/>
      <w:bookmarkStart w:id="78" w:name="_Toc266870907"/>
      <w:bookmarkStart w:id="79" w:name="_Toc223146608"/>
      <w:bookmarkStart w:id="80" w:name="_Toc192664153"/>
      <w:bookmarkStart w:id="81" w:name="_Toc254790899"/>
      <w:bookmarkStart w:id="82" w:name="_Toc169332838"/>
      <w:bookmarkStart w:id="83" w:name="_Toc213208766"/>
      <w:bookmarkStart w:id="84" w:name="_Toc213755995"/>
      <w:bookmarkStart w:id="85" w:name="_Toc191802690"/>
      <w:bookmarkStart w:id="86" w:name="_Toc266868937"/>
      <w:bookmarkStart w:id="87" w:name="_Toc230071147"/>
      <w:bookmarkStart w:id="88" w:name="_Toc169332949"/>
      <w:bookmarkStart w:id="89" w:name="_Toc253066614"/>
      <w:bookmarkStart w:id="90" w:name="_Toc251586231"/>
      <w:bookmarkStart w:id="91" w:name="_Toc182372782"/>
      <w:bookmarkStart w:id="92" w:name="_Toc259692647"/>
      <w:bookmarkStart w:id="93" w:name="_Toc267059919"/>
      <w:bookmarkStart w:id="94" w:name="_Toc211917116"/>
      <w:bookmarkStart w:id="95" w:name="_Toc235438274"/>
      <w:bookmarkStart w:id="96" w:name="_Toc160880529"/>
      <w:bookmarkStart w:id="97" w:name="_Toc267060068"/>
      <w:bookmarkStart w:id="98" w:name="_Toc191789329"/>
      <w:bookmarkStart w:id="99" w:name="_Toc191803626"/>
      <w:bookmarkStart w:id="100" w:name="_Toc213756051"/>
      <w:bookmarkStart w:id="101" w:name="_Toc180302913"/>
      <w:bookmarkStart w:id="102" w:name="_Toc267060321"/>
      <w:bookmarkStart w:id="103" w:name="_Toc267060453"/>
      <w:bookmarkStart w:id="104" w:name="_Toc191783222"/>
      <w:bookmarkStart w:id="105" w:name="_Toc259520865"/>
      <w:bookmarkStart w:id="106" w:name="_Toc259692740"/>
      <w:bookmarkStart w:id="107" w:name="_Toc266870833"/>
      <w:bookmarkStart w:id="108" w:name="_Toc235438344"/>
      <w:bookmarkStart w:id="109" w:name="_Toc170798793"/>
      <w:bookmarkStart w:id="110" w:name="_Toc267060208"/>
      <w:bookmarkStart w:id="111" w:name="_Toc258401256"/>
      <w:bookmarkStart w:id="112" w:name="_Toc273178698"/>
      <w:bookmarkStart w:id="113" w:name="_Toc232302115"/>
      <w:bookmarkStart w:id="114" w:name="_Toc192996338"/>
      <w:bookmarkStart w:id="115" w:name="_Toc192996446"/>
      <w:bookmarkStart w:id="116" w:name="_Toc225669322"/>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266870839"/>
      <w:bookmarkStart w:id="118" w:name="_Toc223146614"/>
      <w:bookmarkStart w:id="119" w:name="_Toc227058536"/>
      <w:bookmarkStart w:id="120" w:name="_Toc267059544"/>
      <w:bookmarkStart w:id="121" w:name="_Toc235437998"/>
      <w:bookmarkStart w:id="122" w:name="_Toc267060076"/>
      <w:bookmarkStart w:id="123" w:name="_Toc267059035"/>
      <w:bookmarkStart w:id="124" w:name="_Toc266868679"/>
      <w:bookmarkStart w:id="125" w:name="_Toc230071153"/>
      <w:bookmarkStart w:id="126" w:name="_Toc267059658"/>
      <w:bookmarkStart w:id="127" w:name="_Toc259692656"/>
      <w:bookmarkStart w:id="128" w:name="_Toc255975016"/>
      <w:bookmarkStart w:id="129" w:name="_Toc170798798"/>
      <w:bookmarkStart w:id="130" w:name="_Toc193160453"/>
      <w:bookmarkStart w:id="131" w:name="_Toc213755945"/>
      <w:bookmarkStart w:id="132" w:name="_Toc251586241"/>
      <w:bookmarkStart w:id="133" w:name="_Toc211917121"/>
      <w:bookmarkStart w:id="134" w:name="_Toc182372787"/>
      <w:bookmarkStart w:id="135" w:name="_Toc267059186"/>
      <w:bookmarkStart w:id="136" w:name="_Toc213755864"/>
      <w:bookmarkStart w:id="137" w:name="_Toc235438352"/>
      <w:bookmarkStart w:id="138" w:name="_Toc160880165"/>
      <w:bookmarkStart w:id="139" w:name="_Toc258401265"/>
      <w:bookmarkStart w:id="140" w:name="_Toc213208771"/>
      <w:bookmarkStart w:id="141" w:name="_Toc225669328"/>
      <w:bookmarkStart w:id="142" w:name="_Toc249325720"/>
      <w:bookmarkStart w:id="143" w:name="_Toc267060461"/>
      <w:bookmarkStart w:id="144" w:name="_Toc267060326"/>
      <w:bookmarkStart w:id="145" w:name="_Toc251613839"/>
      <w:bookmarkStart w:id="146" w:name="_Toc192663691"/>
      <w:bookmarkStart w:id="147" w:name="_Toc192664158"/>
      <w:bookmarkStart w:id="148" w:name="_Toc177985474"/>
      <w:bookmarkStart w:id="149" w:name="_Toc219800249"/>
      <w:bookmarkStart w:id="150" w:name="_Toc213756001"/>
      <w:bookmarkStart w:id="151" w:name="_Toc254790909"/>
      <w:bookmarkStart w:id="152" w:name="_Toc267059924"/>
      <w:bookmarkStart w:id="153" w:name="_Toc259520874"/>
      <w:bookmarkStart w:id="154" w:name="_Toc266870916"/>
      <w:bookmarkStart w:id="155" w:name="_Toc267059811"/>
      <w:bookmarkStart w:id="156" w:name="_Toc180302918"/>
      <w:bookmarkStart w:id="157" w:name="_Toc182805222"/>
      <w:bookmarkStart w:id="158" w:name="_Toc191783227"/>
      <w:bookmarkStart w:id="159" w:name="_Toc232302122"/>
      <w:bookmarkStart w:id="160" w:name="_Toc192996343"/>
      <w:bookmarkStart w:id="161" w:name="_Toc181436466"/>
      <w:bookmarkStart w:id="162" w:name="_Toc236021457"/>
      <w:bookmarkStart w:id="163" w:name="_Toc267060216"/>
      <w:bookmarkStart w:id="164" w:name="_Toc203355738"/>
      <w:bookmarkStart w:id="165" w:name="_Toc266868943"/>
      <w:bookmarkStart w:id="166" w:name="_Toc213756057"/>
      <w:bookmarkStart w:id="167" w:name="_Toc169332954"/>
      <w:bookmarkStart w:id="168" w:name="_Toc191802695"/>
      <w:bookmarkStart w:id="169" w:name="_Toc160880534"/>
      <w:bookmarkStart w:id="170" w:name="_Toc181436570"/>
      <w:bookmarkStart w:id="171" w:name="_Toc192996451"/>
      <w:bookmarkStart w:id="172" w:name="_Toc192663840"/>
      <w:bookmarkStart w:id="173" w:name="_Toc193165739"/>
      <w:bookmarkStart w:id="174" w:name="_Toc266870441"/>
      <w:bookmarkStart w:id="175" w:name="_Toc191789334"/>
      <w:bookmarkStart w:id="176" w:name="_Toc253066624"/>
      <w:bookmarkStart w:id="177" w:name="_Toc235438281"/>
      <w:bookmarkStart w:id="178" w:name="_Toc259692749"/>
      <w:bookmarkStart w:id="179" w:name="_Toc169332843"/>
      <w:bookmarkStart w:id="180" w:name="_Toc191803631"/>
      <w:bookmarkStart w:id="181" w:name="_Toc273178703"/>
      <w:bookmarkStart w:id="182" w:name="_Toc217891408"/>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67060077"/>
      <w:bookmarkStart w:id="184" w:name="_Toc267060462"/>
      <w:bookmarkStart w:id="185" w:name="_Toc255975017"/>
      <w:bookmarkStart w:id="186" w:name="_Toc251586242"/>
      <w:bookmarkStart w:id="187" w:name="_Toc266868680"/>
      <w:bookmarkStart w:id="188" w:name="_Toc235437999"/>
      <w:bookmarkStart w:id="189" w:name="_Toc251613840"/>
      <w:bookmarkStart w:id="190" w:name="_Toc219800250"/>
      <w:bookmarkStart w:id="191" w:name="_Toc259520875"/>
      <w:bookmarkStart w:id="192" w:name="_Toc266870917"/>
      <w:bookmarkStart w:id="193" w:name="_Toc259692657"/>
      <w:bookmarkStart w:id="194" w:name="_Toc249325721"/>
      <w:bookmarkStart w:id="195" w:name="_Toc266870442"/>
      <w:bookmarkStart w:id="196" w:name="_Toc235438353"/>
      <w:bookmarkStart w:id="197" w:name="_Toc227058537"/>
      <w:bookmarkStart w:id="198" w:name="_Toc235438282"/>
      <w:bookmarkStart w:id="199" w:name="_Toc236021458"/>
      <w:bookmarkStart w:id="200" w:name="_Toc253066625"/>
      <w:bookmarkStart w:id="201" w:name="_Toc259692750"/>
      <w:bookmarkStart w:id="202" w:name="_Toc232302123"/>
      <w:bookmarkStart w:id="203" w:name="_Toc230071154"/>
      <w:bookmarkStart w:id="204" w:name="_Toc258401266"/>
      <w:bookmarkStart w:id="205" w:name="_Toc254790910"/>
      <w:bookmarkStart w:id="206" w:name="_Toc213756058"/>
      <w:bookmarkStart w:id="207" w:name="_Toc225669329"/>
      <w:bookmarkStart w:id="208" w:name="_Toc267060217"/>
      <w:bookmarkStart w:id="209" w:name="_Toc223146615"/>
      <w:bookmarkStart w:id="210" w:name="_Toc217891409"/>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59692751"/>
      <w:bookmarkStart w:id="213" w:name="_Toc232302124"/>
      <w:bookmarkStart w:id="214" w:name="_Toc213756059"/>
      <w:bookmarkStart w:id="215" w:name="_Toc249325722"/>
      <w:bookmarkStart w:id="216" w:name="_Toc266870443"/>
      <w:bookmarkStart w:id="217" w:name="_Toc259692658"/>
      <w:bookmarkStart w:id="218" w:name="_Toc255975018"/>
      <w:bookmarkStart w:id="219" w:name="_Toc258401267"/>
      <w:bookmarkStart w:id="220" w:name="_Toc235438000"/>
      <w:bookmarkStart w:id="221" w:name="_Toc266870918"/>
      <w:bookmarkStart w:id="222" w:name="_Toc223146616"/>
      <w:bookmarkStart w:id="223" w:name="_Toc225669330"/>
      <w:bookmarkStart w:id="224" w:name="_Toc230071155"/>
      <w:bookmarkStart w:id="225" w:name="_Toc266868681"/>
      <w:bookmarkStart w:id="226" w:name="_Toc251613841"/>
      <w:bookmarkStart w:id="227" w:name="_Toc235438283"/>
      <w:bookmarkStart w:id="228" w:name="_Toc227058538"/>
      <w:bookmarkStart w:id="229" w:name="_Toc219800251"/>
      <w:bookmarkStart w:id="230" w:name="_Toc251586243"/>
      <w:bookmarkStart w:id="231" w:name="_Toc236021459"/>
      <w:bookmarkStart w:id="232" w:name="_Toc235438354"/>
      <w:bookmarkStart w:id="233" w:name="_Toc259520876"/>
      <w:bookmarkStart w:id="234" w:name="_Toc253066626"/>
      <w:bookmarkStart w:id="235" w:name="_Toc254790911"/>
      <w:bookmarkStart w:id="236" w:name="_Toc217891410"/>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82805225"/>
      <w:bookmarkStart w:id="238" w:name="_Toc192996454"/>
      <w:bookmarkStart w:id="239" w:name="_Toc160880168"/>
      <w:bookmarkStart w:id="240" w:name="_Toc170798801"/>
      <w:bookmarkStart w:id="241" w:name="_Toc232302127"/>
      <w:bookmarkStart w:id="242" w:name="_Toc192664161"/>
      <w:bookmarkStart w:id="243" w:name="_Toc249325725"/>
      <w:bookmarkStart w:id="244" w:name="_Toc181436469"/>
      <w:bookmarkStart w:id="245" w:name="_Toc191789337"/>
      <w:bookmarkStart w:id="246" w:name="_Toc169332846"/>
      <w:bookmarkStart w:id="247" w:name="_Toc192663843"/>
      <w:bookmarkStart w:id="248" w:name="_Toc251613844"/>
      <w:bookmarkStart w:id="249" w:name="_Toc203355741"/>
      <w:bookmarkStart w:id="250" w:name="_Toc235438286"/>
      <w:bookmarkStart w:id="251" w:name="_Toc259692661"/>
      <w:bookmarkStart w:id="252" w:name="_Toc180302921"/>
      <w:bookmarkStart w:id="253" w:name="_Toc267060465"/>
      <w:bookmarkStart w:id="254" w:name="_Toc191783230"/>
      <w:bookmarkStart w:id="255" w:name="_Toc182372790"/>
      <w:bookmarkStart w:id="256" w:name="_Toc192996346"/>
      <w:bookmarkStart w:id="257" w:name="_Toc267060466"/>
      <w:bookmarkStart w:id="258" w:name="_Toc160880537"/>
      <w:bookmarkStart w:id="259" w:name="_Toc259520879"/>
      <w:bookmarkStart w:id="260" w:name="_Toc191802698"/>
      <w:bookmarkStart w:id="261" w:name="_Toc258401272"/>
      <w:bookmarkStart w:id="262" w:name="_Toc267060221"/>
      <w:bookmarkStart w:id="263" w:name="_Toc235438357"/>
      <w:bookmarkStart w:id="264" w:name="_Toc235438003"/>
      <w:bookmarkStart w:id="265" w:name="_Toc193165742"/>
      <w:bookmarkStart w:id="266" w:name="_Toc193160456"/>
      <w:bookmarkStart w:id="267" w:name="_Toc192663694"/>
      <w:bookmarkStart w:id="268" w:name="_Toc181436573"/>
      <w:bookmarkStart w:id="269" w:name="_Toc211917124"/>
      <w:bookmarkStart w:id="270" w:name="_Toc251586246"/>
      <w:bookmarkStart w:id="271" w:name="_Toc259692663"/>
      <w:bookmarkStart w:id="272" w:name="_Toc177985477"/>
      <w:bookmarkStart w:id="273" w:name="_Toc267060081"/>
      <w:bookmarkStart w:id="274" w:name="_Toc253066629"/>
      <w:bookmarkStart w:id="275" w:name="_Toc267060080"/>
      <w:bookmarkStart w:id="276" w:name="_Toc266870921"/>
      <w:bookmarkStart w:id="277" w:name="_Toc191803634"/>
      <w:bookmarkStart w:id="278" w:name="_Toc266870447"/>
      <w:bookmarkStart w:id="279" w:name="_Toc267060220"/>
      <w:bookmarkStart w:id="280" w:name="_Toc259692756"/>
      <w:bookmarkStart w:id="281" w:name="_Toc259520881"/>
      <w:bookmarkStart w:id="282" w:name="_Toc266870922"/>
      <w:bookmarkStart w:id="283" w:name="_Toc255975023"/>
      <w:bookmarkStart w:id="284" w:name="_Toc258401270"/>
      <w:bookmarkStart w:id="285" w:name="_Toc266870446"/>
      <w:bookmarkStart w:id="286" w:name="_Toc169332957"/>
      <w:bookmarkStart w:id="287" w:name="_Toc254790916"/>
      <w:bookmarkStart w:id="288" w:name="_Toc266868686"/>
      <w:bookmarkStart w:id="289" w:name="_Toc259692754"/>
      <w:bookmarkStart w:id="290" w:name="_Toc254790914"/>
      <w:bookmarkStart w:id="291" w:name="_Toc266868684"/>
      <w:bookmarkStart w:id="292" w:name="_Toc255975021"/>
      <w:bookmarkStart w:id="293" w:name="_Toc236021462"/>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35438287"/>
      <w:bookmarkStart w:id="295" w:name="_Toc267060327"/>
      <w:bookmarkStart w:id="296" w:name="_Toc267059187"/>
      <w:bookmarkStart w:id="297" w:name="_Toc254790917"/>
      <w:bookmarkStart w:id="298" w:name="_Toc267059925"/>
      <w:bookmarkStart w:id="299" w:name="_Toc266870448"/>
      <w:bookmarkStart w:id="300" w:name="_Toc259520882"/>
      <w:bookmarkStart w:id="301" w:name="_Toc267059812"/>
      <w:bookmarkStart w:id="302" w:name="_Toc258401273"/>
      <w:bookmarkStart w:id="303" w:name="_Toc267059659"/>
      <w:bookmarkStart w:id="304" w:name="_Toc236021463"/>
      <w:bookmarkStart w:id="305" w:name="_Toc251613845"/>
      <w:bookmarkStart w:id="306" w:name="_Toc267059036"/>
      <w:bookmarkStart w:id="307" w:name="_Toc255975024"/>
      <w:bookmarkStart w:id="308" w:name="_Toc232302128"/>
      <w:bookmarkStart w:id="309" w:name="_Toc266870840"/>
      <w:bookmarkStart w:id="310" w:name="_Toc249325726"/>
      <w:bookmarkStart w:id="311" w:name="_Toc266868944"/>
      <w:bookmarkStart w:id="312" w:name="_Toc251586247"/>
      <w:bookmarkStart w:id="313" w:name="_Toc259692664"/>
      <w:bookmarkStart w:id="314" w:name="_Toc267060467"/>
      <w:bookmarkStart w:id="315" w:name="_Toc273178704"/>
      <w:bookmarkStart w:id="316" w:name="_Toc259692757"/>
      <w:bookmarkStart w:id="317" w:name="_Toc267060082"/>
      <w:bookmarkStart w:id="318" w:name="_Toc267060222"/>
      <w:bookmarkStart w:id="319" w:name="_Toc235438358"/>
      <w:bookmarkStart w:id="320" w:name="_Toc235438004"/>
      <w:bookmarkStart w:id="321" w:name="_Toc266868687"/>
      <w:bookmarkStart w:id="322" w:name="_Toc267059545"/>
      <w:bookmarkStart w:id="323" w:name="_Toc266870923"/>
      <w:bookmarkStart w:id="324" w:name="_Toc253066630"/>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6540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E436A"/>
    <w:multiLevelType w:val="singleLevel"/>
    <w:tmpl w:val="4DFE436A"/>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31D61"/>
    <w:rsid w:val="000426A7"/>
    <w:rsid w:val="000569E1"/>
    <w:rsid w:val="00064E4D"/>
    <w:rsid w:val="00070A6D"/>
    <w:rsid w:val="0007244C"/>
    <w:rsid w:val="00074B20"/>
    <w:rsid w:val="000807C1"/>
    <w:rsid w:val="00082572"/>
    <w:rsid w:val="00092390"/>
    <w:rsid w:val="000934D4"/>
    <w:rsid w:val="000A6637"/>
    <w:rsid w:val="000D4D71"/>
    <w:rsid w:val="000D514C"/>
    <w:rsid w:val="000F4F45"/>
    <w:rsid w:val="0013118F"/>
    <w:rsid w:val="00143849"/>
    <w:rsid w:val="001561E9"/>
    <w:rsid w:val="001576C7"/>
    <w:rsid w:val="00163B53"/>
    <w:rsid w:val="00176CD4"/>
    <w:rsid w:val="00182C6E"/>
    <w:rsid w:val="001A5B43"/>
    <w:rsid w:val="001B719E"/>
    <w:rsid w:val="001C6943"/>
    <w:rsid w:val="001F3952"/>
    <w:rsid w:val="002251E3"/>
    <w:rsid w:val="00235942"/>
    <w:rsid w:val="00235C32"/>
    <w:rsid w:val="00244E90"/>
    <w:rsid w:val="002772BB"/>
    <w:rsid w:val="0028718C"/>
    <w:rsid w:val="002C2C3D"/>
    <w:rsid w:val="002C4297"/>
    <w:rsid w:val="002C558F"/>
    <w:rsid w:val="002E19B2"/>
    <w:rsid w:val="002F3F54"/>
    <w:rsid w:val="00315D0D"/>
    <w:rsid w:val="00334E6F"/>
    <w:rsid w:val="003466B5"/>
    <w:rsid w:val="0034695A"/>
    <w:rsid w:val="003570A0"/>
    <w:rsid w:val="003845F2"/>
    <w:rsid w:val="003C0E1A"/>
    <w:rsid w:val="003C406B"/>
    <w:rsid w:val="003C60EF"/>
    <w:rsid w:val="003D02FC"/>
    <w:rsid w:val="003D2FF7"/>
    <w:rsid w:val="003E6439"/>
    <w:rsid w:val="003F20A6"/>
    <w:rsid w:val="003F4C2C"/>
    <w:rsid w:val="00403AD6"/>
    <w:rsid w:val="00404FA2"/>
    <w:rsid w:val="004242F4"/>
    <w:rsid w:val="0043243C"/>
    <w:rsid w:val="00433EB9"/>
    <w:rsid w:val="00441955"/>
    <w:rsid w:val="0045488D"/>
    <w:rsid w:val="00494088"/>
    <w:rsid w:val="004B66B1"/>
    <w:rsid w:val="004D5E5E"/>
    <w:rsid w:val="004E24DE"/>
    <w:rsid w:val="004F3FCE"/>
    <w:rsid w:val="00500FB5"/>
    <w:rsid w:val="00502F52"/>
    <w:rsid w:val="00543220"/>
    <w:rsid w:val="00582530"/>
    <w:rsid w:val="00590957"/>
    <w:rsid w:val="005A163B"/>
    <w:rsid w:val="005A5A4D"/>
    <w:rsid w:val="005D6C54"/>
    <w:rsid w:val="005F1FC8"/>
    <w:rsid w:val="00607B2B"/>
    <w:rsid w:val="00630374"/>
    <w:rsid w:val="006308F9"/>
    <w:rsid w:val="006651E0"/>
    <w:rsid w:val="00665A94"/>
    <w:rsid w:val="00666727"/>
    <w:rsid w:val="00671A70"/>
    <w:rsid w:val="0068667A"/>
    <w:rsid w:val="00695D13"/>
    <w:rsid w:val="006A084D"/>
    <w:rsid w:val="006D27DD"/>
    <w:rsid w:val="006D53F9"/>
    <w:rsid w:val="006D6492"/>
    <w:rsid w:val="006F12BF"/>
    <w:rsid w:val="006F3C71"/>
    <w:rsid w:val="006F5FBA"/>
    <w:rsid w:val="00725DD8"/>
    <w:rsid w:val="00790192"/>
    <w:rsid w:val="007B0F09"/>
    <w:rsid w:val="007B2319"/>
    <w:rsid w:val="007B5846"/>
    <w:rsid w:val="0082072F"/>
    <w:rsid w:val="00820F76"/>
    <w:rsid w:val="00832069"/>
    <w:rsid w:val="00865B30"/>
    <w:rsid w:val="00874219"/>
    <w:rsid w:val="00876AB6"/>
    <w:rsid w:val="008843FB"/>
    <w:rsid w:val="008902DC"/>
    <w:rsid w:val="008B14CC"/>
    <w:rsid w:val="008D2B27"/>
    <w:rsid w:val="00906C23"/>
    <w:rsid w:val="00916532"/>
    <w:rsid w:val="00923C7E"/>
    <w:rsid w:val="00934407"/>
    <w:rsid w:val="00936704"/>
    <w:rsid w:val="00945B37"/>
    <w:rsid w:val="009606BC"/>
    <w:rsid w:val="00967E57"/>
    <w:rsid w:val="00970E44"/>
    <w:rsid w:val="00985FC2"/>
    <w:rsid w:val="00994E59"/>
    <w:rsid w:val="009A19FA"/>
    <w:rsid w:val="009A6925"/>
    <w:rsid w:val="009B035D"/>
    <w:rsid w:val="009B75DB"/>
    <w:rsid w:val="009D75D8"/>
    <w:rsid w:val="00A10022"/>
    <w:rsid w:val="00A148CE"/>
    <w:rsid w:val="00A24465"/>
    <w:rsid w:val="00A40610"/>
    <w:rsid w:val="00A4220E"/>
    <w:rsid w:val="00A44A63"/>
    <w:rsid w:val="00A64A5B"/>
    <w:rsid w:val="00AA5A63"/>
    <w:rsid w:val="00AC50D8"/>
    <w:rsid w:val="00AD29A3"/>
    <w:rsid w:val="00AF1CE1"/>
    <w:rsid w:val="00AF3C2A"/>
    <w:rsid w:val="00B04C2A"/>
    <w:rsid w:val="00B14C37"/>
    <w:rsid w:val="00B54440"/>
    <w:rsid w:val="00B554E7"/>
    <w:rsid w:val="00BA1DC6"/>
    <w:rsid w:val="00BA7AF2"/>
    <w:rsid w:val="00BB7AAD"/>
    <w:rsid w:val="00BD49FB"/>
    <w:rsid w:val="00BD7232"/>
    <w:rsid w:val="00BE1921"/>
    <w:rsid w:val="00BE3AA2"/>
    <w:rsid w:val="00C019D8"/>
    <w:rsid w:val="00C035B5"/>
    <w:rsid w:val="00C66E1E"/>
    <w:rsid w:val="00C676BA"/>
    <w:rsid w:val="00C81AB4"/>
    <w:rsid w:val="00C857BF"/>
    <w:rsid w:val="00C97CD5"/>
    <w:rsid w:val="00CA48A5"/>
    <w:rsid w:val="00CB5A61"/>
    <w:rsid w:val="00D14789"/>
    <w:rsid w:val="00D2102C"/>
    <w:rsid w:val="00D268B8"/>
    <w:rsid w:val="00D27213"/>
    <w:rsid w:val="00D31624"/>
    <w:rsid w:val="00D36D52"/>
    <w:rsid w:val="00D56DEA"/>
    <w:rsid w:val="00D63CE3"/>
    <w:rsid w:val="00D86847"/>
    <w:rsid w:val="00DC2C74"/>
    <w:rsid w:val="00DE4C02"/>
    <w:rsid w:val="00E04A37"/>
    <w:rsid w:val="00E06CBF"/>
    <w:rsid w:val="00E11567"/>
    <w:rsid w:val="00E3310A"/>
    <w:rsid w:val="00E33B9E"/>
    <w:rsid w:val="00E33C1C"/>
    <w:rsid w:val="00E67206"/>
    <w:rsid w:val="00E737BC"/>
    <w:rsid w:val="00E85E7E"/>
    <w:rsid w:val="00E9406E"/>
    <w:rsid w:val="00E95973"/>
    <w:rsid w:val="00ED2437"/>
    <w:rsid w:val="00EE3803"/>
    <w:rsid w:val="00F0149B"/>
    <w:rsid w:val="00F030C2"/>
    <w:rsid w:val="00F14E07"/>
    <w:rsid w:val="00F172D8"/>
    <w:rsid w:val="00F20D98"/>
    <w:rsid w:val="00F66190"/>
    <w:rsid w:val="00F67A5F"/>
    <w:rsid w:val="00F81C66"/>
    <w:rsid w:val="00F8646A"/>
    <w:rsid w:val="00F86947"/>
    <w:rsid w:val="00F876DE"/>
    <w:rsid w:val="00F9131A"/>
    <w:rsid w:val="00F915AB"/>
    <w:rsid w:val="00FA1749"/>
    <w:rsid w:val="00FA4236"/>
    <w:rsid w:val="00FB7688"/>
    <w:rsid w:val="00FC4A83"/>
    <w:rsid w:val="00FD2343"/>
    <w:rsid w:val="00FF1750"/>
    <w:rsid w:val="00FF3E90"/>
    <w:rsid w:val="098C269D"/>
    <w:rsid w:val="12225C8C"/>
    <w:rsid w:val="142E79DF"/>
    <w:rsid w:val="157C2F26"/>
    <w:rsid w:val="1BEC742C"/>
    <w:rsid w:val="1DCA3488"/>
    <w:rsid w:val="2A7C013C"/>
    <w:rsid w:val="2DD131C6"/>
    <w:rsid w:val="2E9278E2"/>
    <w:rsid w:val="3AFC5017"/>
    <w:rsid w:val="3F7B1C31"/>
    <w:rsid w:val="49C9638D"/>
    <w:rsid w:val="4BAD18DA"/>
    <w:rsid w:val="4EFC0DA6"/>
    <w:rsid w:val="4FAF4693"/>
    <w:rsid w:val="505E1DB7"/>
    <w:rsid w:val="56800087"/>
    <w:rsid w:val="5D0E2FDC"/>
    <w:rsid w:val="6A923527"/>
    <w:rsid w:val="7038005A"/>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 w:type="paragraph" w:customStyle="1" w:styleId="65">
    <w:name w:val="First Paragraph"/>
    <w:basedOn w:val="13"/>
    <w:next w:val="13"/>
    <w:qFormat/>
    <w:uiPriority w:val="0"/>
    <w:pPr>
      <w:spacing w:before="180" w:after="180" w:line="240" w:lineRule="auto"/>
      <w:jc w:val="left"/>
    </w:pPr>
    <w:rPr>
      <w:sz w:val="24"/>
      <w:szCs w:val="24"/>
      <w:lang w:eastAsia="en-US"/>
    </w:rPr>
  </w:style>
  <w:style w:type="character" w:customStyle="1" w:styleId="66">
    <w:name w:val="font41"/>
    <w:basedOn w:val="26"/>
    <w:qFormat/>
    <w:uiPriority w:val="0"/>
    <w:rPr>
      <w:rFonts w:hint="eastAsia" w:ascii="宋体" w:hAnsi="宋体" w:eastAsia="宋体" w:cs="宋体"/>
      <w:color w:val="000000"/>
      <w:sz w:val="24"/>
      <w:szCs w:val="24"/>
      <w:u w:val="none"/>
    </w:rPr>
  </w:style>
  <w:style w:type="character" w:customStyle="1" w:styleId="67">
    <w:name w:val="font81"/>
    <w:basedOn w:val="2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1.png"/><Relationship Id="rId25" Type="http://schemas.openxmlformats.org/officeDocument/2006/relationships/image" Target="media/image10.jpeg"/><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516</Words>
  <Characters>2943</Characters>
  <Lines>24</Lines>
  <Paragraphs>6</Paragraphs>
  <TotalTime>1</TotalTime>
  <ScaleCrop>false</ScaleCrop>
  <LinksUpToDate>false</LinksUpToDate>
  <CharactersWithSpaces>3453</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2020-10-27T09:50:00Z</dcterms:created>
  <dc:creator>树亮 门</dc:creator>
  <cp:lastModifiedBy>Administrator</cp:lastModifiedBy>
  <dcterms:modified xsi:type="dcterms:W3CDTF">2021-12-03T03:28:30Z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3E9149BBCA5C434EB486EA084D43D812</vt:lpwstr>
  </property>
</Properties>
</file>