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val="en-US" w:eastAsia="zh-CN"/>
        </w:rPr>
      </w:pPr>
      <w:bookmarkStart w:id="0" w:name="_Hlk38472698"/>
      <w:bookmarkStart w:id="185" w:name="_GoBack"/>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高性能服务器采购</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bookmarkEnd w:id="185"/>
    <w:p>
      <w:pPr>
        <w:spacing w:line="500" w:lineRule="exact"/>
        <w:ind w:firstLine="2331" w:firstLineChars="645"/>
        <w:rPr>
          <w:rFonts w:hint="default" w:ascii="仿宋" w:hAnsi="仿宋" w:eastAsia="仿宋"/>
          <w:b/>
          <w:color w:val="000000" w:themeColor="text1"/>
          <w:sz w:val="36"/>
          <w:szCs w:val="36"/>
          <w:lang w:val="en-US"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sz w:val="36"/>
          <w:szCs w:val="36"/>
          <w:lang w:val="en-US" w:eastAsia="zh-CN"/>
        </w:rPr>
        <w:t>B</w:t>
      </w:r>
      <w:r>
        <w:rPr>
          <w:rFonts w:hint="eastAsia" w:ascii="仿宋" w:hAnsi="仿宋" w:eastAsia="仿宋"/>
          <w:b/>
          <w:color w:val="000000" w:themeColor="text1"/>
          <w:sz w:val="36"/>
          <w:szCs w:val="36"/>
          <w:lang w:val="en-US" w:eastAsia="zh-CN"/>
          <w14:textFill>
            <w14:solidFill>
              <w14:schemeClr w14:val="tx1"/>
            </w14:solidFill>
          </w14:textFill>
        </w:rPr>
        <w:t>-XJ2021-12</w:t>
      </w:r>
    </w:p>
    <w:p>
      <w:pPr>
        <w:spacing w:line="500" w:lineRule="exact"/>
        <w:ind w:firstLine="2331" w:firstLineChars="645"/>
        <w:jc w:val="both"/>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170798743"/>
      <w:bookmarkStart w:id="5" w:name="_Toc212526081"/>
      <w:bookmarkStart w:id="6" w:name="_Toc235438227"/>
      <w:bookmarkStart w:id="7" w:name="_Toc216241307"/>
      <w:bookmarkStart w:id="8" w:name="_Toc258401210"/>
      <w:bookmarkStart w:id="9" w:name="_Toc267059786"/>
      <w:bookmarkStart w:id="10" w:name="_Toc177985424"/>
      <w:bookmarkStart w:id="11" w:name="_Toc236021402"/>
      <w:bookmarkStart w:id="12" w:name="_Toc267059161"/>
      <w:bookmarkStart w:id="13" w:name="_Toc212456146"/>
      <w:bookmarkStart w:id="14" w:name="_Toc212454753"/>
      <w:bookmarkStart w:id="15" w:name="_Toc219800200"/>
      <w:bookmarkStart w:id="16" w:name="_Toc217891359"/>
      <w:bookmarkStart w:id="17" w:name="_Toc267059633"/>
      <w:bookmarkStart w:id="18" w:name="_Toc266870861"/>
      <w:bookmarkStart w:id="19" w:name="_Toc235437942"/>
      <w:bookmarkStart w:id="20" w:name="_Toc266870386"/>
      <w:bookmarkStart w:id="21" w:name="_Toc227058483"/>
      <w:bookmarkStart w:id="22" w:name="_Toc273178686"/>
      <w:bookmarkStart w:id="23" w:name="_Toc249325665"/>
      <w:bookmarkStart w:id="24" w:name="_Toc169332794"/>
      <w:bookmarkStart w:id="25" w:name="_Toc223146565"/>
      <w:bookmarkStart w:id="26" w:name="_Toc267059519"/>
      <w:bookmarkStart w:id="27" w:name="_Toc225669277"/>
      <w:bookmarkStart w:id="28" w:name="_Toc259692693"/>
      <w:bookmarkStart w:id="29" w:name="_Toc212530253"/>
      <w:bookmarkStart w:id="30" w:name="_Toc259692600"/>
      <w:bookmarkStart w:id="31" w:name="_Toc254790852"/>
      <w:bookmarkStart w:id="32" w:name="_Toc255974963"/>
      <w:bookmarkStart w:id="33" w:name="_Toc253066567"/>
      <w:bookmarkStart w:id="34" w:name="_Toc267059899"/>
      <w:bookmarkStart w:id="35" w:name="_Toc266868924"/>
      <w:bookmarkStart w:id="36" w:name="_Toc259520819"/>
      <w:bookmarkStart w:id="37" w:name="_Toc251586187"/>
      <w:bookmarkStart w:id="38" w:name="_Toc267060407"/>
      <w:bookmarkStart w:id="39" w:name="_Toc251613780"/>
      <w:bookmarkStart w:id="40" w:name="_Toc169332904"/>
      <w:bookmarkStart w:id="41" w:name="_Toc211937196"/>
      <w:bookmarkStart w:id="42" w:name="_Toc266868624"/>
      <w:bookmarkStart w:id="43" w:name="_Toc235438297"/>
      <w:bookmarkStart w:id="44" w:name="_Toc267059010"/>
      <w:bookmarkStart w:id="45" w:name="_Toc207014580"/>
      <w:bookmarkStart w:id="46" w:name="_Toc267060162"/>
      <w:bookmarkStart w:id="47" w:name="_Toc267060022"/>
      <w:bookmarkStart w:id="48" w:name="_Toc160880487"/>
      <w:r>
        <w:rPr>
          <w:rFonts w:hint="eastAsia" w:ascii="仿宋" w:hAnsi="仿宋" w:eastAsia="仿宋"/>
          <w:b/>
          <w:sz w:val="36"/>
          <w:szCs w:val="36"/>
          <w:lang w:val="en-US" w:eastAsia="zh-CN"/>
        </w:rPr>
        <w:t>高性能服务器采购项目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rPr>
        <w:t>广州松田职业学院是一所经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B-XJ2021-12</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b w:val="0"/>
          <w:bCs w:val="0"/>
          <w:color w:val="000000" w:themeColor="text1"/>
          <w:sz w:val="28"/>
          <w:szCs w:val="28"/>
          <w:highlight w:val="none"/>
          <w:lang w:val="en-US" w:eastAsia="zh-CN"/>
          <w14:textFill>
            <w14:solidFill>
              <w14:schemeClr w14:val="tx1"/>
            </w14:solidFill>
          </w14:textFill>
        </w:rPr>
        <w:t>高性能服务器采购项目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参与人应具有独立法人资格的生产厂商或授权经销商。</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设备安装</w:t>
      </w:r>
      <w:r>
        <w:rPr>
          <w:rFonts w:hint="eastAsia" w:ascii="仿宋" w:hAnsi="仿宋" w:eastAsia="仿宋"/>
          <w:color w:val="auto"/>
          <w:sz w:val="28"/>
          <w:szCs w:val="28"/>
          <w:highlight w:val="none"/>
        </w:rPr>
        <w:t>资质</w:t>
      </w:r>
    </w:p>
    <w:p>
      <w:pPr>
        <w:spacing w:after="0" w:line="500" w:lineRule="exact"/>
        <w:ind w:left="1410" w:leftChars="322" w:hanging="702" w:hangingChars="251"/>
        <w:rPr>
          <w:rFonts w:ascii="仿宋" w:hAnsi="仿宋" w:eastAsia="仿宋"/>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）参与人应具</w:t>
      </w:r>
      <w:r>
        <w:rPr>
          <w:rFonts w:ascii="仿宋" w:hAnsi="仿宋" w:eastAsia="仿宋"/>
          <w:color w:val="auto"/>
          <w:sz w:val="28"/>
          <w:szCs w:val="28"/>
          <w:highlight w:val="none"/>
        </w:rPr>
        <w:t>有提</w:t>
      </w:r>
      <w:r>
        <w:rPr>
          <w:rFonts w:hint="eastAsia" w:ascii="仿宋" w:hAnsi="仿宋" w:eastAsia="仿宋"/>
          <w:color w:val="auto"/>
          <w:sz w:val="28"/>
          <w:szCs w:val="28"/>
          <w:highlight w:val="none"/>
        </w:rPr>
        <w:t>供</w:t>
      </w:r>
      <w:r>
        <w:rPr>
          <w:rFonts w:hint="eastAsia" w:ascii="仿宋" w:hAnsi="仿宋" w:eastAsia="仿宋"/>
          <w:color w:val="auto"/>
          <w:sz w:val="28"/>
          <w:szCs w:val="28"/>
          <w:highlight w:val="none"/>
          <w:lang w:val="en-US" w:eastAsia="zh-CN"/>
        </w:rPr>
        <w:t>高性能服务器设备</w:t>
      </w:r>
      <w:r>
        <w:rPr>
          <w:rFonts w:ascii="仿宋" w:hAnsi="仿宋" w:eastAsia="仿宋"/>
          <w:color w:val="auto"/>
          <w:sz w:val="28"/>
          <w:szCs w:val="28"/>
          <w:highlight w:val="none"/>
        </w:rPr>
        <w:t>和服务的资格</w:t>
      </w:r>
      <w:r>
        <w:rPr>
          <w:rFonts w:hint="eastAsia" w:ascii="仿宋" w:hAnsi="仿宋" w:eastAsia="仿宋"/>
          <w:color w:val="auto"/>
          <w:sz w:val="28"/>
          <w:szCs w:val="28"/>
          <w:highlight w:val="none"/>
        </w:rPr>
        <w:t>及</w:t>
      </w:r>
      <w:r>
        <w:rPr>
          <w:rFonts w:ascii="仿宋" w:hAnsi="仿宋" w:eastAsia="仿宋"/>
          <w:color w:val="auto"/>
          <w:sz w:val="28"/>
          <w:szCs w:val="28"/>
          <w:highlight w:val="none"/>
        </w:rPr>
        <w:t>能力</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w:t>
      </w:r>
      <w:r>
        <w:rPr>
          <w:rFonts w:hint="eastAsia" w:ascii="仿宋" w:hAnsi="仿宋" w:eastAsia="仿宋"/>
          <w:color w:val="auto"/>
          <w:sz w:val="28"/>
          <w:szCs w:val="28"/>
          <w:highlight w:val="none"/>
        </w:rPr>
        <w:t>市范围有固定售后服务机构，具备相应的维护保养能力。</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10</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29</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上午11:00</w:t>
      </w:r>
      <w:r>
        <w:rPr>
          <w:rFonts w:hint="eastAsia" w:ascii="仿宋" w:hAnsi="仿宋" w:eastAsia="仿宋"/>
          <w:sz w:val="28"/>
          <w:szCs w:val="28"/>
          <w:shd w:val="clear" w:color="auto" w:fill="FFFFFF"/>
        </w:rPr>
        <w:t>前。</w:t>
      </w:r>
    </w:p>
    <w:p>
      <w:pPr>
        <w:spacing w:after="0" w:line="500" w:lineRule="exact"/>
        <w:ind w:firstLine="420" w:firstLineChars="150"/>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rPr>
        <w:t>广州市增城区朱村街朱村大道东432号</w:t>
      </w:r>
      <w:r>
        <w:rPr>
          <w:rFonts w:hint="eastAsia" w:ascii="仿宋" w:hAnsi="仿宋" w:eastAsia="仿宋" w:cs="仿宋"/>
          <w:color w:val="auto"/>
          <w:sz w:val="28"/>
          <w:szCs w:val="28"/>
          <w:lang w:eastAsia="zh-CN"/>
        </w:rPr>
        <w:t>广州松田职业学院</w:t>
      </w:r>
      <w:r>
        <w:rPr>
          <w:rFonts w:hint="eastAsia" w:ascii="仿宋" w:hAnsi="仿宋" w:eastAsia="仿宋" w:cs="仿宋"/>
          <w:color w:val="auto"/>
          <w:sz w:val="28"/>
          <w:szCs w:val="28"/>
        </w:rPr>
        <w:t>资产与采购处</w:t>
      </w:r>
      <w:r>
        <w:rPr>
          <w:rFonts w:hint="eastAsia" w:ascii="仿宋" w:hAnsi="仿宋" w:eastAsia="仿宋" w:cs="仿宋"/>
          <w:color w:val="auto"/>
          <w:sz w:val="28"/>
          <w:szCs w:val="28"/>
          <w:lang w:val="en-US" w:eastAsia="zh-CN"/>
        </w:rPr>
        <w:t>办公室。</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吴谷芬</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18122166662。</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w:t>
      </w:r>
      <w:r>
        <w:rPr>
          <w:rFonts w:hint="eastAsia" w:ascii="仿宋" w:hAnsi="仿宋" w:eastAsia="仿宋"/>
          <w:sz w:val="28"/>
          <w:szCs w:val="28"/>
          <w:lang w:eastAsia="zh-CN"/>
        </w:rPr>
        <w:t>（</w:t>
      </w:r>
      <w:r>
        <w:rPr>
          <w:rFonts w:hint="eastAsia" w:ascii="仿宋" w:hAnsi="仿宋" w:eastAsia="仿宋"/>
          <w:sz w:val="28"/>
          <w:szCs w:val="28"/>
          <w:lang w:val="en-US" w:eastAsia="zh-CN"/>
        </w:rPr>
        <w:t>一正两副</w:t>
      </w:r>
      <w:r>
        <w:rPr>
          <w:rFonts w:hint="eastAsia" w:ascii="仿宋" w:hAnsi="仿宋" w:eastAsia="仿宋"/>
          <w:sz w:val="28"/>
          <w:szCs w:val="28"/>
          <w:lang w:eastAsia="zh-CN"/>
        </w:rPr>
        <w:t>）</w:t>
      </w:r>
      <w:r>
        <w:rPr>
          <w:rFonts w:hint="eastAsia" w:ascii="仿宋" w:hAnsi="仿宋" w:eastAsia="仿宋"/>
          <w:sz w:val="28"/>
          <w:szCs w:val="28"/>
        </w:rPr>
        <w:t>。本项目不接受联合体报价</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default"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402" w:type="dxa"/>
        <w:tblInd w:w="0" w:type="dxa"/>
        <w:tblLayout w:type="fixed"/>
        <w:tblCellMar>
          <w:top w:w="0" w:type="dxa"/>
          <w:left w:w="108" w:type="dxa"/>
          <w:bottom w:w="0" w:type="dxa"/>
          <w:right w:w="108" w:type="dxa"/>
        </w:tblCellMar>
      </w:tblPr>
      <w:tblGrid>
        <w:gridCol w:w="643"/>
        <w:gridCol w:w="1423"/>
        <w:gridCol w:w="3255"/>
        <w:gridCol w:w="765"/>
        <w:gridCol w:w="660"/>
        <w:gridCol w:w="725"/>
        <w:gridCol w:w="837"/>
        <w:gridCol w:w="1094"/>
      </w:tblGrid>
      <w:tr>
        <w:tblPrEx>
          <w:tblCellMar>
            <w:top w:w="0" w:type="dxa"/>
            <w:left w:w="108" w:type="dxa"/>
            <w:bottom w:w="0" w:type="dxa"/>
            <w:right w:w="108" w:type="dxa"/>
          </w:tblCellMar>
        </w:tblPrEx>
        <w:trPr>
          <w:trHeight w:val="523"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14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设备名称</w:t>
            </w:r>
          </w:p>
        </w:tc>
        <w:tc>
          <w:tcPr>
            <w:tcW w:w="32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规格型号（技术参数）</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6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数量</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单价</w:t>
            </w:r>
          </w:p>
        </w:tc>
        <w:tc>
          <w:tcPr>
            <w:tcW w:w="8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总价</w:t>
            </w:r>
          </w:p>
        </w:tc>
        <w:tc>
          <w:tcPr>
            <w:tcW w:w="10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4591" w:hRule="atLeast"/>
        </w:trPr>
        <w:tc>
          <w:tcPr>
            <w:tcW w:w="643" w:type="dxa"/>
            <w:tcBorders>
              <w:top w:val="nil"/>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1423" w:type="dxa"/>
            <w:tcBorders>
              <w:top w:val="nil"/>
              <w:left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高性能服务器</w:t>
            </w:r>
          </w:p>
        </w:tc>
        <w:tc>
          <w:tcPr>
            <w:tcW w:w="3255" w:type="dxa"/>
            <w:tcBorders>
              <w:top w:val="nil"/>
              <w:left w:val="nil"/>
              <w:right w:val="single" w:color="auto" w:sz="4" w:space="0"/>
            </w:tcBorders>
            <w:shd w:val="clear" w:color="000000" w:fill="FFFFFF"/>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rPr>
            </w:pPr>
            <w:r>
              <w:rPr>
                <w:rFonts w:hint="eastAsia" w:ascii="仿宋" w:hAnsi="仿宋" w:eastAsia="仿宋" w:cs="仿宋"/>
                <w:szCs w:val="21"/>
              </w:rPr>
              <w:t>国内知名品牌</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机架式服务器</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2颗英特尔至强处理器，单处理器12核心24线程以上，主频2.2Ghz以上，支持睿频3.0Ghz以上</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8* 32G DDR4 ECC内存，最大可支持24个内存插槽,最大可扩展至1.5TB内存</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8*1.2T 10k 2.5 SAS 12Gb硬盘，最大支持不低于12块硬盘</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万兆电口*4，万兆光口*4，支持NCSI、网络唤醒，网络冗余，负载均衡等网络高级特性</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配置2GB Cache、12Gb RAID控制器，支持RAID0/1/5/10/50，支持电容掉电保护</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配置热插拔1+1冗余电源，单个电源功率≥700W；</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支持windows 2012/2016/2019系统，支持ubuntu/centos/fedora/rhel等常见linux发行版，支持kvm/vmware/openstack等虚拟化平台</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Cs w:val="21"/>
                <w:lang w:val="en-US" w:eastAsia="zh-CN"/>
              </w:rPr>
            </w:pPr>
            <w:r>
              <w:rPr>
                <w:rFonts w:hint="eastAsia" w:ascii="仿宋" w:hAnsi="仿宋" w:eastAsia="仿宋" w:cs="仿宋"/>
                <w:szCs w:val="21"/>
              </w:rPr>
              <w:t>最大支持8个PCI-E 3.0插槽</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after="0" w:line="240" w:lineRule="auto"/>
              <w:jc w:val="left"/>
              <w:textAlignment w:val="center"/>
              <w:rPr>
                <w:rFonts w:hint="default" w:ascii="宋体" w:hAnsi="宋体" w:cs="宋体"/>
                <w:szCs w:val="21"/>
                <w:lang w:val="en-US" w:eastAsia="zh-CN"/>
              </w:rPr>
            </w:pPr>
            <w:r>
              <w:rPr>
                <w:rFonts w:hint="eastAsia" w:ascii="仿宋" w:hAnsi="仿宋" w:eastAsia="仿宋" w:cs="仿宋"/>
                <w:szCs w:val="21"/>
              </w:rPr>
              <w:t>提供服务器与基础软件兼容性测试报告，噪声测试报告。</w:t>
            </w:r>
          </w:p>
        </w:tc>
        <w:tc>
          <w:tcPr>
            <w:tcW w:w="76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台</w:t>
            </w:r>
          </w:p>
        </w:tc>
        <w:tc>
          <w:tcPr>
            <w:tcW w:w="660" w:type="dxa"/>
            <w:tcBorders>
              <w:top w:val="nil"/>
              <w:left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c>
          <w:tcPr>
            <w:tcW w:w="725"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837"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1094"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67" w:hRule="atLeast"/>
        </w:trPr>
        <w:tc>
          <w:tcPr>
            <w:tcW w:w="9402" w:type="dxa"/>
            <w:gridSpan w:val="8"/>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合计（含税）</w:t>
            </w: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w:t>
      </w:r>
      <w:r>
        <w:rPr>
          <w:rFonts w:hint="eastAsia" w:ascii="仿宋" w:hAnsi="仿宋" w:eastAsia="仿宋" w:cs="仿宋"/>
          <w:bCs/>
          <w:sz w:val="24"/>
          <w:szCs w:val="24"/>
          <w:lang w:val="en-US" w:eastAsia="zh-CN"/>
        </w:rPr>
        <w:t>5</w:t>
      </w:r>
      <w:r>
        <w:rPr>
          <w:rFonts w:hint="eastAsia" w:ascii="仿宋" w:hAnsi="仿宋" w:eastAsia="仿宋" w:cs="仿宋"/>
          <w:bCs/>
          <w:sz w:val="24"/>
          <w:szCs w:val="24"/>
        </w:rPr>
        <w:t>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sectPr>
          <w:headerReference r:id="rId9" w:type="first"/>
          <w:headerReference r:id="rId8" w:type="default"/>
          <w:pgSz w:w="11906" w:h="16838"/>
          <w:pgMar w:top="1440" w:right="1416" w:bottom="1440" w:left="1134" w:header="851" w:footer="227" w:gutter="0"/>
          <w:cols w:space="425" w:num="1"/>
          <w:titlePg/>
          <w:docGrid w:type="lines" w:linePitch="312" w:charSpace="0"/>
        </w:sectPr>
      </w:pPr>
    </w:p>
    <w:p>
      <w:pPr>
        <w:spacing w:line="1000" w:lineRule="exact"/>
        <w:jc w:val="center"/>
        <w:rPr>
          <w:rFonts w:hint="eastAsia" w:ascii="仿宋" w:hAnsi="仿宋" w:eastAsia="仿宋"/>
          <w:b/>
          <w:sz w:val="72"/>
          <w:szCs w:val="72"/>
          <w:lang w:val="en-US" w:eastAsia="zh-CN"/>
        </w:rPr>
      </w:pPr>
      <w:r>
        <w:rPr>
          <w:rFonts w:hint="eastAsia" w:ascii="仿宋" w:hAnsi="仿宋" w:eastAsia="仿宋"/>
          <w:b/>
          <w:sz w:val="72"/>
          <w:szCs w:val="72"/>
          <w:lang w:val="en-US" w:eastAsia="zh-CN"/>
        </w:rPr>
        <w:t>广州松田职业</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高性能服务器采购</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267059539"/>
      <w:bookmarkStart w:id="54" w:name="_Toc267060068"/>
      <w:bookmarkStart w:id="55" w:name="_Toc235438344"/>
      <w:bookmarkStart w:id="56" w:name="_Toc267060321"/>
      <w:bookmarkStart w:id="57" w:name="_Toc191789329"/>
      <w:bookmarkStart w:id="58" w:name="_Toc213208766"/>
      <w:bookmarkStart w:id="59" w:name="_Toc182805217"/>
      <w:bookmarkStart w:id="60" w:name="_Toc193160448"/>
      <w:bookmarkStart w:id="61" w:name="_Toc253066614"/>
      <w:bookmarkStart w:id="62" w:name="_Toc193165734"/>
      <w:bookmarkStart w:id="63" w:name="_Toc267059919"/>
      <w:bookmarkStart w:id="64" w:name="_Toc203355733"/>
      <w:bookmarkStart w:id="65" w:name="_Toc267059806"/>
      <w:bookmarkStart w:id="66" w:name="_Toc267059030"/>
      <w:bookmarkStart w:id="67" w:name="_Toc267059181"/>
      <w:bookmarkStart w:id="68" w:name="_Toc213755939"/>
      <w:bookmarkStart w:id="69" w:name="_Toc255975007"/>
      <w:bookmarkStart w:id="70" w:name="_Toc192664153"/>
      <w:bookmarkStart w:id="71" w:name="_Toc267059653"/>
      <w:bookmarkStart w:id="72" w:name="_Toc182372782"/>
      <w:bookmarkStart w:id="73" w:name="_Toc232302115"/>
      <w:bookmarkStart w:id="74" w:name="_Toc254790899"/>
      <w:bookmarkStart w:id="75" w:name="_Toc267060208"/>
      <w:bookmarkStart w:id="76" w:name="_Toc191803626"/>
      <w:bookmarkStart w:id="77" w:name="_Toc259692740"/>
      <w:bookmarkStart w:id="78" w:name="_Toc259520865"/>
      <w:bookmarkStart w:id="79" w:name="_Toc273178698"/>
      <w:bookmarkStart w:id="80" w:name="_Toc266868937"/>
      <w:bookmarkStart w:id="81" w:name="_Toc249325711"/>
      <w:bookmarkStart w:id="82" w:name="_Toc266870833"/>
      <w:bookmarkStart w:id="83" w:name="_Toc170798793"/>
      <w:bookmarkStart w:id="84" w:name="_Toc213755858"/>
      <w:bookmarkStart w:id="85" w:name="_Toc235437991"/>
      <w:bookmarkStart w:id="86" w:name="_Toc191783222"/>
      <w:bookmarkStart w:id="87" w:name="_Toc160880160"/>
      <w:bookmarkStart w:id="88" w:name="_Toc177985469"/>
      <w:bookmarkStart w:id="89" w:name="_Toc169332838"/>
      <w:bookmarkStart w:id="90" w:name="_Toc160880529"/>
      <w:bookmarkStart w:id="91" w:name="_Toc236021449"/>
      <w:bookmarkStart w:id="92" w:name="_Toc267060453"/>
      <w:bookmarkStart w:id="93" w:name="_Toc230071147"/>
      <w:bookmarkStart w:id="94" w:name="_Toc251613829"/>
      <w:bookmarkStart w:id="95" w:name="_Toc217891402"/>
      <w:bookmarkStart w:id="96" w:name="_Toc223146608"/>
      <w:bookmarkStart w:id="97" w:name="_Toc258401256"/>
      <w:bookmarkStart w:id="98" w:name="_Toc192996446"/>
      <w:bookmarkStart w:id="99" w:name="_Toc213755995"/>
      <w:bookmarkStart w:id="100" w:name="_Toc181436565"/>
      <w:bookmarkStart w:id="101" w:name="_Toc191802690"/>
      <w:bookmarkStart w:id="102" w:name="_Toc219800243"/>
      <w:bookmarkStart w:id="103" w:name="_Toc227058530"/>
      <w:bookmarkStart w:id="104" w:name="_Toc169332949"/>
      <w:bookmarkStart w:id="105" w:name="_Toc259692647"/>
      <w:bookmarkStart w:id="106" w:name="_Toc251586231"/>
      <w:bookmarkStart w:id="107" w:name="_Toc180302913"/>
      <w:bookmarkStart w:id="108" w:name="_Toc192663835"/>
      <w:bookmarkStart w:id="109" w:name="_Toc266870907"/>
      <w:bookmarkStart w:id="110" w:name="_Toc266868670"/>
      <w:bookmarkStart w:id="111" w:name="_Toc192663686"/>
      <w:bookmarkStart w:id="112" w:name="_Toc225669322"/>
      <w:bookmarkStart w:id="113" w:name="_Toc235438274"/>
      <w:bookmarkStart w:id="114" w:name="_Toc181436461"/>
      <w:bookmarkStart w:id="115" w:name="_Toc266870432"/>
      <w:bookmarkStart w:id="116" w:name="_Toc192996338"/>
      <w:bookmarkStart w:id="117" w:name="_Toc213756051"/>
      <w:bookmarkStart w:id="118" w:name="_Toc211917116"/>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广州松田职业学院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177985474"/>
      <w:bookmarkStart w:id="120" w:name="_Toc160880534"/>
      <w:bookmarkStart w:id="121" w:name="_Toc181436466"/>
      <w:bookmarkStart w:id="122" w:name="_Toc160880165"/>
      <w:bookmarkStart w:id="123" w:name="_Toc258401265"/>
      <w:bookmarkStart w:id="124" w:name="_Toc182372787"/>
      <w:bookmarkStart w:id="125" w:name="_Toc169332954"/>
      <w:bookmarkStart w:id="126" w:name="_Toc169332843"/>
      <w:bookmarkStart w:id="127" w:name="_Toc191803631"/>
      <w:bookmarkStart w:id="128" w:name="_Toc254790909"/>
      <w:bookmarkStart w:id="129" w:name="_Toc182805222"/>
      <w:bookmarkStart w:id="130" w:name="_Toc191783227"/>
      <w:bookmarkStart w:id="131" w:name="_Toc192663691"/>
      <w:bookmarkStart w:id="132" w:name="_Toc180302918"/>
      <w:bookmarkStart w:id="133" w:name="_Toc191789334"/>
      <w:bookmarkStart w:id="134" w:name="_Toc191802695"/>
      <w:bookmarkStart w:id="135" w:name="_Toc266868943"/>
      <w:bookmarkStart w:id="136" w:name="_Toc235437998"/>
      <w:bookmarkStart w:id="137" w:name="_Toc192663840"/>
      <w:bookmarkStart w:id="138" w:name="_Toc267060216"/>
      <w:bookmarkStart w:id="139" w:name="_Toc211917121"/>
      <w:bookmarkStart w:id="140" w:name="_Toc193160453"/>
      <w:bookmarkStart w:id="141" w:name="_Toc255975016"/>
      <w:bookmarkStart w:id="142" w:name="_Toc230071153"/>
      <w:bookmarkStart w:id="143" w:name="_Toc253066624"/>
      <w:bookmarkStart w:id="144" w:name="_Toc235438281"/>
      <w:bookmarkStart w:id="145" w:name="_Toc232302122"/>
      <w:bookmarkStart w:id="146" w:name="_Toc192996343"/>
      <w:bookmarkStart w:id="147" w:name="_Toc235438352"/>
      <w:bookmarkStart w:id="148" w:name="_Toc225669328"/>
      <w:bookmarkStart w:id="149" w:name="_Toc213755864"/>
      <w:bookmarkStart w:id="150" w:name="_Toc227058536"/>
      <w:bookmarkStart w:id="151" w:name="_Toc236021457"/>
      <w:bookmarkStart w:id="152" w:name="_Toc259520874"/>
      <w:bookmarkStart w:id="153" w:name="_Toc213756057"/>
      <w:bookmarkStart w:id="154" w:name="_Toc203355738"/>
      <w:bookmarkStart w:id="155" w:name="_Toc251613839"/>
      <w:bookmarkStart w:id="156" w:name="_Toc170798798"/>
      <w:bookmarkStart w:id="157" w:name="_Toc223146614"/>
      <w:bookmarkStart w:id="158" w:name="_Toc181436570"/>
      <w:bookmarkStart w:id="159" w:name="_Toc213755945"/>
      <w:bookmarkStart w:id="160" w:name="_Toc251586241"/>
      <w:bookmarkStart w:id="161" w:name="_Toc266870916"/>
      <w:bookmarkStart w:id="162" w:name="_Toc192664158"/>
      <w:bookmarkStart w:id="163" w:name="_Toc193165739"/>
      <w:bookmarkStart w:id="164" w:name="_Toc219800249"/>
      <w:bookmarkStart w:id="165" w:name="_Toc217891408"/>
      <w:bookmarkStart w:id="166" w:name="_Toc267060461"/>
      <w:bookmarkStart w:id="167" w:name="_Toc213208771"/>
      <w:bookmarkStart w:id="168" w:name="_Toc267059186"/>
      <w:bookmarkStart w:id="169" w:name="_Toc259692749"/>
      <w:bookmarkStart w:id="170" w:name="_Toc249325720"/>
      <w:bookmarkStart w:id="171" w:name="_Toc267060326"/>
      <w:bookmarkStart w:id="172" w:name="_Toc267059811"/>
      <w:bookmarkStart w:id="173" w:name="_Toc273178703"/>
      <w:bookmarkStart w:id="174" w:name="_Toc267060076"/>
      <w:bookmarkStart w:id="175" w:name="_Toc266870839"/>
      <w:bookmarkStart w:id="176" w:name="_Toc267059658"/>
      <w:bookmarkStart w:id="177" w:name="_Toc267059924"/>
      <w:bookmarkStart w:id="178" w:name="_Toc266868679"/>
      <w:bookmarkStart w:id="179" w:name="_Toc213756001"/>
      <w:bookmarkStart w:id="180" w:name="_Toc266870441"/>
      <w:bookmarkStart w:id="181" w:name="_Toc267059544"/>
      <w:bookmarkStart w:id="182" w:name="_Toc192996451"/>
      <w:bookmarkStart w:id="183" w:name="_Toc267059035"/>
      <w:bookmarkStart w:id="184" w:name="_Toc259692656"/>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6"/>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6"/>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6"/>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380" w:lineRule="exact"/>
        <w:rPr>
          <w:rFonts w:ascii="仿宋" w:hAnsi="仿宋" w:eastAsia="仿宋"/>
          <w:sz w:val="28"/>
          <w:szCs w:val="28"/>
        </w:rPr>
      </w:pPr>
    </w:p>
    <w:sectPr>
      <w:headerReference r:id="rId13" w:type="first"/>
      <w:headerReference r:id="rId12" w:type="default"/>
      <w:footerReference r:id="rId14"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195070" cy="347345"/>
          <wp:effectExtent l="0" t="0" r="5080" b="14605"/>
          <wp:docPr id="1" name="图片 1"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1195070" cy="347345"/>
          <wp:effectExtent l="0" t="0" r="5080" b="1460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195070" cy="34734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ascii="仿宋" w:hAnsi="仿宋" w:eastAsia="仿宋" w:cs="仿宋"/>
        <w:sz w:val="21"/>
        <w:szCs w:val="21"/>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C1BF3"/>
    <w:multiLevelType w:val="singleLevel"/>
    <w:tmpl w:val="F69C1BF3"/>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90BF67"/>
    <w:multiLevelType w:val="singleLevel"/>
    <w:tmpl w:val="2990BF67"/>
    <w:lvl w:ilvl="0" w:tentative="0">
      <w:start w:val="1"/>
      <w:numFmt w:val="decimal"/>
      <w:lvlText w:val="%1."/>
      <w:lvlJc w:val="left"/>
      <w:pPr>
        <w:tabs>
          <w:tab w:val="left" w:pos="312"/>
        </w:tabs>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3605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28931B52"/>
    <w:rsid w:val="2B226E34"/>
    <w:rsid w:val="318B3A51"/>
    <w:rsid w:val="3EF74521"/>
    <w:rsid w:val="3F592C02"/>
    <w:rsid w:val="3FB4758E"/>
    <w:rsid w:val="50E819B9"/>
    <w:rsid w:val="578B128C"/>
    <w:rsid w:val="7C2B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ascii="宋体" w:hAnsi="宋体" w:eastAsia="宋体" w:cs="宋体"/>
      <w:color w:val="000000"/>
      <w:sz w:val="20"/>
      <w:szCs w:val="20"/>
      <w:u w:val="none"/>
    </w:rPr>
  </w:style>
  <w:style w:type="character" w:customStyle="1" w:styleId="60">
    <w:name w:val="font11"/>
    <w:basedOn w:val="2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2.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47</TotalTime>
  <ScaleCrop>false</ScaleCrop>
  <LinksUpToDate>false</LinksUpToDate>
  <CharactersWithSpaces>2117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2021-10-22T03:59:58Z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C7A1ECEA642E4FA1BA3849C86189DE7F</vt:lpwstr>
  </property>
</Properties>
</file>